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F624F" w14:textId="77777777" w:rsidR="009571D0" w:rsidRPr="008F59A2" w:rsidRDefault="00621BCA" w:rsidP="008F59A2">
      <w:pPr>
        <w:pStyle w:val="TOC1"/>
        <w:tabs>
          <w:tab w:val="clear" w:pos="426"/>
          <w:tab w:val="clear" w:pos="9016"/>
        </w:tabs>
        <w:spacing w:before="1560" w:after="0" w:line="276" w:lineRule="auto"/>
        <w:outlineLvl w:val="9"/>
        <w:rPr>
          <w:rFonts w:ascii="Gill Sans MT" w:eastAsia="Calibri" w:hAnsi="Gill Sans MT" w:cs="Times New Roman"/>
          <w:bCs w:val="0"/>
          <w:lang w:val="en-GB" w:eastAsia="en-GB"/>
        </w:rPr>
      </w:pPr>
      <w:r w:rsidRPr="008F59A2">
        <w:rPr>
          <w:rFonts w:ascii="Gill Sans MT" w:eastAsia="Calibri" w:hAnsi="Gill Sans MT" w:cs="Times New Roman"/>
          <w:bCs w:val="0"/>
          <w:lang w:val="en-GB" w:eastAsia="en-GB"/>
        </w:rPr>
        <w:drawing>
          <wp:inline distT="0" distB="0" distL="0" distR="0" wp14:anchorId="35AFE3AD" wp14:editId="37BE38BE">
            <wp:extent cx="2032000" cy="2032000"/>
            <wp:effectExtent l="0" t="0" r="6350" b="6350"/>
            <wp:docPr id="3" name="Picture 3" descr="Green and grey triangle with pictures of leaves and buildings." title="RMPA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0" cy="2032000"/>
                    </a:xfrm>
                    <a:prstGeom prst="rect">
                      <a:avLst/>
                    </a:prstGeom>
                    <a:noFill/>
                    <a:ln>
                      <a:noFill/>
                    </a:ln>
                  </pic:spPr>
                </pic:pic>
              </a:graphicData>
            </a:graphic>
          </wp:inline>
        </w:drawing>
      </w:r>
    </w:p>
    <w:p w14:paraId="67DB4032" w14:textId="77777777" w:rsidR="009571D0" w:rsidRPr="00621BCA" w:rsidRDefault="00621BCA" w:rsidP="00FA645F">
      <w:pPr>
        <w:pStyle w:val="Covertitle"/>
        <w:rPr>
          <w:rFonts w:ascii="Gill Sans MT" w:hAnsi="Gill Sans MT"/>
        </w:rPr>
      </w:pPr>
      <w:r>
        <w:rPr>
          <w:rFonts w:ascii="Gill Sans MT" w:hAnsi="Gill Sans MT"/>
        </w:rPr>
        <w:t>Resource Management &amp; Planning Appeal Tribunal</w:t>
      </w:r>
    </w:p>
    <w:p w14:paraId="613AB3A6" w14:textId="77777777" w:rsidR="009571D0" w:rsidRPr="00621BCA" w:rsidRDefault="009571D0" w:rsidP="00E16FE2">
      <w:pPr>
        <w:pStyle w:val="CoverSubtitle"/>
        <w:spacing w:before="240"/>
        <w:rPr>
          <w:rFonts w:ascii="Gill Sans MT" w:hAnsi="Gill Sans MT"/>
          <w:sz w:val="48"/>
          <w:szCs w:val="48"/>
        </w:rPr>
        <w:sectPr w:rsidR="009571D0" w:rsidRPr="00621BCA" w:rsidSect="00970BA3">
          <w:footerReference w:type="default" r:id="rId9"/>
          <w:footerReference w:type="first" r:id="rId10"/>
          <w:pgSz w:w="11906" w:h="16838" w:code="9"/>
          <w:pgMar w:top="1440" w:right="1440" w:bottom="1440" w:left="1440" w:header="709" w:footer="709" w:gutter="0"/>
          <w:paperSrc w:first="1" w:other="1"/>
          <w:cols w:space="708"/>
          <w:titlePg/>
          <w:docGrid w:linePitch="360"/>
        </w:sectPr>
      </w:pPr>
      <w:r w:rsidRPr="00621BCA">
        <w:rPr>
          <w:rFonts w:ascii="Gill Sans MT" w:hAnsi="Gill Sans MT"/>
          <w:sz w:val="48"/>
          <w:szCs w:val="48"/>
        </w:rPr>
        <w:t>Annual Report 20</w:t>
      </w:r>
      <w:r w:rsidR="00621BCA">
        <w:rPr>
          <w:rFonts w:ascii="Gill Sans MT" w:hAnsi="Gill Sans MT"/>
          <w:sz w:val="48"/>
          <w:szCs w:val="48"/>
        </w:rPr>
        <w:t>16</w:t>
      </w:r>
      <w:r w:rsidR="009262CA" w:rsidRPr="00621BCA">
        <w:rPr>
          <w:rFonts w:ascii="Gill Sans MT" w:hAnsi="Gill Sans MT"/>
          <w:sz w:val="48"/>
          <w:szCs w:val="48"/>
        </w:rPr>
        <w:t xml:space="preserve"> </w:t>
      </w:r>
      <w:r w:rsidRPr="00621BCA">
        <w:rPr>
          <w:rFonts w:ascii="Gill Sans MT" w:hAnsi="Gill Sans MT"/>
          <w:sz w:val="48"/>
          <w:szCs w:val="48"/>
        </w:rPr>
        <w:t>- 20</w:t>
      </w:r>
      <w:r w:rsidR="00621BCA">
        <w:rPr>
          <w:rFonts w:ascii="Gill Sans MT" w:hAnsi="Gill Sans MT"/>
          <w:sz w:val="48"/>
          <w:szCs w:val="48"/>
        </w:rPr>
        <w:t>17</w:t>
      </w:r>
    </w:p>
    <w:p w14:paraId="240AE051" w14:textId="77777777" w:rsidR="00C3555F" w:rsidRPr="00621BCA" w:rsidRDefault="00C3555F" w:rsidP="00D31B76">
      <w:pPr>
        <w:pStyle w:val="TOCHeading"/>
        <w:spacing w:after="240"/>
        <w:rPr>
          <w:rFonts w:ascii="Gill Sans MT" w:hAnsi="Gill Sans MT"/>
        </w:rPr>
      </w:pPr>
      <w:bookmarkStart w:id="0" w:name="_Toc455405326"/>
      <w:r w:rsidRPr="00621BCA">
        <w:rPr>
          <w:rFonts w:ascii="Gill Sans MT" w:hAnsi="Gill Sans MT"/>
        </w:rPr>
        <w:lastRenderedPageBreak/>
        <w:t>Table of contents</w:t>
      </w:r>
    </w:p>
    <w:p w14:paraId="504C4450" w14:textId="1F6BB0DE" w:rsidR="000B2D55" w:rsidRDefault="00117C5C">
      <w:pPr>
        <w:pStyle w:val="TOC1"/>
        <w:rPr>
          <w:bCs w:val="0"/>
          <w:lang w:val="en-GB" w:eastAsia="en-GB"/>
        </w:rPr>
      </w:pPr>
      <w:r w:rsidRPr="00621BCA">
        <w:rPr>
          <w:rFonts w:ascii="Gill Sans MT" w:eastAsiaTheme="majorEastAsia" w:hAnsi="Gill Sans MT"/>
        </w:rPr>
        <w:fldChar w:fldCharType="begin"/>
      </w:r>
      <w:r w:rsidRPr="00621BCA">
        <w:rPr>
          <w:rFonts w:ascii="Gill Sans MT" w:eastAsiaTheme="majorEastAsia" w:hAnsi="Gill Sans MT"/>
        </w:rPr>
        <w:instrText xml:space="preserve"> TOC \o "2-3" \h \z \t "Heading 1,1" </w:instrText>
      </w:r>
      <w:r w:rsidRPr="00621BCA">
        <w:rPr>
          <w:rFonts w:ascii="Gill Sans MT" w:eastAsiaTheme="majorEastAsia" w:hAnsi="Gill Sans MT"/>
        </w:rPr>
        <w:fldChar w:fldCharType="separate"/>
      </w:r>
      <w:hyperlink w:anchor="_Toc495485022" w:history="1">
        <w:r w:rsidR="000B2D55" w:rsidRPr="007C3235">
          <w:rPr>
            <w:rStyle w:val="Hyperlink"/>
            <w:rFonts w:ascii="Gill Sans MT" w:hAnsi="Gill Sans MT"/>
          </w:rPr>
          <w:t>1</w:t>
        </w:r>
        <w:r w:rsidR="000B2D55">
          <w:rPr>
            <w:bCs w:val="0"/>
            <w:lang w:val="en-GB" w:eastAsia="en-GB"/>
          </w:rPr>
          <w:tab/>
        </w:r>
        <w:r w:rsidR="000B2D55" w:rsidRPr="007C3235">
          <w:rPr>
            <w:rStyle w:val="Hyperlink"/>
            <w:rFonts w:ascii="Gill Sans MT" w:hAnsi="Gill Sans MT"/>
            <w:shd w:val="clear" w:color="auto" w:fill="FFFFFF"/>
          </w:rPr>
          <w:t>Chairman’s Report</w:t>
        </w:r>
        <w:r w:rsidR="000B2D55">
          <w:rPr>
            <w:webHidden/>
          </w:rPr>
          <w:tab/>
        </w:r>
        <w:r w:rsidR="000B2D55">
          <w:rPr>
            <w:webHidden/>
          </w:rPr>
          <w:fldChar w:fldCharType="begin"/>
        </w:r>
        <w:r w:rsidR="000B2D55">
          <w:rPr>
            <w:webHidden/>
          </w:rPr>
          <w:instrText xml:space="preserve"> PAGEREF _Toc495485022 \h </w:instrText>
        </w:r>
        <w:r w:rsidR="000B2D55">
          <w:rPr>
            <w:webHidden/>
          </w:rPr>
        </w:r>
        <w:r w:rsidR="000B2D55">
          <w:rPr>
            <w:webHidden/>
          </w:rPr>
          <w:fldChar w:fldCharType="separate"/>
        </w:r>
        <w:r w:rsidR="00970BA3">
          <w:rPr>
            <w:webHidden/>
          </w:rPr>
          <w:t>3</w:t>
        </w:r>
        <w:r w:rsidR="000B2D55">
          <w:rPr>
            <w:webHidden/>
          </w:rPr>
          <w:fldChar w:fldCharType="end"/>
        </w:r>
      </w:hyperlink>
    </w:p>
    <w:p w14:paraId="18E59671" w14:textId="4CF20623" w:rsidR="000B2D55" w:rsidRDefault="00F236C8">
      <w:pPr>
        <w:pStyle w:val="TOC1"/>
        <w:rPr>
          <w:bCs w:val="0"/>
          <w:lang w:val="en-GB" w:eastAsia="en-GB"/>
        </w:rPr>
      </w:pPr>
      <w:hyperlink w:anchor="_Toc495485023" w:history="1">
        <w:r w:rsidR="000B2D55" w:rsidRPr="007C3235">
          <w:rPr>
            <w:rStyle w:val="Hyperlink"/>
            <w:rFonts w:ascii="Gill Sans MT" w:hAnsi="Gill Sans MT"/>
          </w:rPr>
          <w:t>2</w:t>
        </w:r>
        <w:r w:rsidR="000B2D55">
          <w:rPr>
            <w:bCs w:val="0"/>
            <w:lang w:val="en-GB" w:eastAsia="en-GB"/>
          </w:rPr>
          <w:tab/>
        </w:r>
        <w:r w:rsidR="000B2D55">
          <w:rPr>
            <w:rStyle w:val="Hyperlink"/>
            <w:rFonts w:ascii="Gill Sans MT" w:hAnsi="Gill Sans MT"/>
            <w:shd w:val="clear" w:color="auto" w:fill="FFFFFF"/>
          </w:rPr>
          <w:t>Tribunal’s L</w:t>
        </w:r>
        <w:r w:rsidR="000B2D55" w:rsidRPr="007C3235">
          <w:rPr>
            <w:rStyle w:val="Hyperlink"/>
            <w:rFonts w:ascii="Gill Sans MT" w:hAnsi="Gill Sans MT"/>
            <w:shd w:val="clear" w:color="auto" w:fill="FFFFFF"/>
          </w:rPr>
          <w:t xml:space="preserve">egislative </w:t>
        </w:r>
        <w:r w:rsidR="000B2D55">
          <w:rPr>
            <w:rStyle w:val="Hyperlink"/>
            <w:rFonts w:ascii="Gill Sans MT" w:hAnsi="Gill Sans MT"/>
            <w:shd w:val="clear" w:color="auto" w:fill="FFFFFF"/>
          </w:rPr>
          <w:t>C</w:t>
        </w:r>
        <w:r w:rsidR="000B2D55" w:rsidRPr="007C3235">
          <w:rPr>
            <w:rStyle w:val="Hyperlink"/>
            <w:rFonts w:ascii="Gill Sans MT" w:hAnsi="Gill Sans MT"/>
            <w:shd w:val="clear" w:color="auto" w:fill="FFFFFF"/>
          </w:rPr>
          <w:t>ontext</w:t>
        </w:r>
        <w:r w:rsidR="000B2D55">
          <w:rPr>
            <w:webHidden/>
          </w:rPr>
          <w:tab/>
        </w:r>
        <w:r w:rsidR="000B2D55">
          <w:rPr>
            <w:webHidden/>
          </w:rPr>
          <w:fldChar w:fldCharType="begin"/>
        </w:r>
        <w:r w:rsidR="000B2D55">
          <w:rPr>
            <w:webHidden/>
          </w:rPr>
          <w:instrText xml:space="preserve"> PAGEREF _Toc495485023 \h </w:instrText>
        </w:r>
        <w:r w:rsidR="000B2D55">
          <w:rPr>
            <w:webHidden/>
          </w:rPr>
        </w:r>
        <w:r w:rsidR="000B2D55">
          <w:rPr>
            <w:webHidden/>
          </w:rPr>
          <w:fldChar w:fldCharType="separate"/>
        </w:r>
        <w:r w:rsidR="00970BA3">
          <w:rPr>
            <w:webHidden/>
          </w:rPr>
          <w:t>9</w:t>
        </w:r>
        <w:r w:rsidR="000B2D55">
          <w:rPr>
            <w:webHidden/>
          </w:rPr>
          <w:fldChar w:fldCharType="end"/>
        </w:r>
      </w:hyperlink>
    </w:p>
    <w:p w14:paraId="3AC93DAD" w14:textId="332F61F5" w:rsidR="000B2D55" w:rsidRDefault="00F236C8">
      <w:pPr>
        <w:pStyle w:val="TOC1"/>
        <w:rPr>
          <w:bCs w:val="0"/>
          <w:lang w:val="en-GB" w:eastAsia="en-GB"/>
        </w:rPr>
      </w:pPr>
      <w:hyperlink w:anchor="_Toc495485024" w:history="1">
        <w:r w:rsidR="000B2D55" w:rsidRPr="007C3235">
          <w:rPr>
            <w:rStyle w:val="Hyperlink"/>
            <w:rFonts w:ascii="Gill Sans MT" w:hAnsi="Gill Sans MT"/>
          </w:rPr>
          <w:t>3</w:t>
        </w:r>
        <w:r w:rsidR="000B2D55">
          <w:rPr>
            <w:bCs w:val="0"/>
            <w:lang w:val="en-GB" w:eastAsia="en-GB"/>
          </w:rPr>
          <w:tab/>
        </w:r>
        <w:r w:rsidR="000B2D55" w:rsidRPr="007C3235">
          <w:rPr>
            <w:rStyle w:val="Hyperlink"/>
            <w:rFonts w:ascii="Gill Sans MT" w:hAnsi="Gill Sans MT"/>
            <w:shd w:val="clear" w:color="auto" w:fill="FFFFFF"/>
          </w:rPr>
          <w:t>Members of the Tribunal as at 30/06/17</w:t>
        </w:r>
        <w:r w:rsidR="000B2D55">
          <w:rPr>
            <w:webHidden/>
          </w:rPr>
          <w:tab/>
        </w:r>
        <w:r w:rsidR="000B2D55">
          <w:rPr>
            <w:webHidden/>
          </w:rPr>
          <w:fldChar w:fldCharType="begin"/>
        </w:r>
        <w:r w:rsidR="000B2D55">
          <w:rPr>
            <w:webHidden/>
          </w:rPr>
          <w:instrText xml:space="preserve"> PAGEREF _Toc495485024 \h </w:instrText>
        </w:r>
        <w:r w:rsidR="000B2D55">
          <w:rPr>
            <w:webHidden/>
          </w:rPr>
        </w:r>
        <w:r w:rsidR="000B2D55">
          <w:rPr>
            <w:webHidden/>
          </w:rPr>
          <w:fldChar w:fldCharType="separate"/>
        </w:r>
        <w:r w:rsidR="00970BA3">
          <w:rPr>
            <w:webHidden/>
          </w:rPr>
          <w:t>10</w:t>
        </w:r>
        <w:r w:rsidR="000B2D55">
          <w:rPr>
            <w:webHidden/>
          </w:rPr>
          <w:fldChar w:fldCharType="end"/>
        </w:r>
      </w:hyperlink>
    </w:p>
    <w:p w14:paraId="554FDA68" w14:textId="5EFD448E" w:rsidR="000B2D55" w:rsidRDefault="00F236C8">
      <w:pPr>
        <w:pStyle w:val="TOC1"/>
        <w:rPr>
          <w:bCs w:val="0"/>
          <w:lang w:val="en-GB" w:eastAsia="en-GB"/>
        </w:rPr>
      </w:pPr>
      <w:hyperlink w:anchor="_Toc495485025" w:history="1">
        <w:r w:rsidR="000B2D55" w:rsidRPr="007C3235">
          <w:rPr>
            <w:rStyle w:val="Hyperlink"/>
            <w:rFonts w:ascii="Gill Sans MT" w:hAnsi="Gill Sans MT"/>
          </w:rPr>
          <w:t>4</w:t>
        </w:r>
        <w:r w:rsidR="000B2D55">
          <w:rPr>
            <w:bCs w:val="0"/>
            <w:lang w:val="en-GB" w:eastAsia="en-GB"/>
          </w:rPr>
          <w:tab/>
        </w:r>
        <w:r w:rsidR="000B2D55" w:rsidRPr="007C3235">
          <w:rPr>
            <w:rStyle w:val="Hyperlink"/>
            <w:rFonts w:ascii="Gill Sans MT" w:hAnsi="Gill Sans MT"/>
            <w:shd w:val="clear" w:color="auto" w:fill="FFFFFF"/>
          </w:rPr>
          <w:t>Activity</w:t>
        </w:r>
        <w:r w:rsidR="000B2D55">
          <w:rPr>
            <w:webHidden/>
          </w:rPr>
          <w:tab/>
        </w:r>
        <w:r w:rsidR="000B2D55">
          <w:rPr>
            <w:webHidden/>
          </w:rPr>
          <w:fldChar w:fldCharType="begin"/>
        </w:r>
        <w:r w:rsidR="000B2D55">
          <w:rPr>
            <w:webHidden/>
          </w:rPr>
          <w:instrText xml:space="preserve"> PAGEREF _Toc495485025 \h </w:instrText>
        </w:r>
        <w:r w:rsidR="000B2D55">
          <w:rPr>
            <w:webHidden/>
          </w:rPr>
        </w:r>
        <w:r w:rsidR="000B2D55">
          <w:rPr>
            <w:webHidden/>
          </w:rPr>
          <w:fldChar w:fldCharType="separate"/>
        </w:r>
        <w:r w:rsidR="00970BA3">
          <w:rPr>
            <w:webHidden/>
          </w:rPr>
          <w:t>13</w:t>
        </w:r>
        <w:r w:rsidR="000B2D55">
          <w:rPr>
            <w:webHidden/>
          </w:rPr>
          <w:fldChar w:fldCharType="end"/>
        </w:r>
      </w:hyperlink>
    </w:p>
    <w:p w14:paraId="737AA956" w14:textId="77777777" w:rsidR="005D7CB6" w:rsidRPr="00621BCA" w:rsidRDefault="00117C5C" w:rsidP="00B13697">
      <w:pPr>
        <w:sectPr w:rsidR="005D7CB6" w:rsidRPr="00621BCA" w:rsidSect="005728BE">
          <w:headerReference w:type="first" r:id="rId11"/>
          <w:pgSz w:w="11906" w:h="16838"/>
          <w:pgMar w:top="1440" w:right="1440" w:bottom="1440" w:left="1440" w:header="708" w:footer="708" w:gutter="0"/>
          <w:cols w:space="708"/>
          <w:titlePg/>
          <w:docGrid w:linePitch="360"/>
        </w:sectPr>
      </w:pPr>
      <w:r w:rsidRPr="00621BCA">
        <w:rPr>
          <w:rFonts w:eastAsiaTheme="majorEastAsia" w:cstheme="majorBidi"/>
          <w:noProof/>
          <w:kern w:val="28"/>
          <w:sz w:val="24"/>
          <w:szCs w:val="32"/>
        </w:rPr>
        <w:fldChar w:fldCharType="end"/>
      </w:r>
    </w:p>
    <w:p w14:paraId="43BF351D" w14:textId="77777777" w:rsidR="006E3E44" w:rsidRPr="00135A99" w:rsidRDefault="0018383A" w:rsidP="00C37155">
      <w:pPr>
        <w:pStyle w:val="Heading1"/>
        <w:numPr>
          <w:ilvl w:val="0"/>
          <w:numId w:val="27"/>
        </w:numPr>
        <w:spacing w:after="240"/>
        <w:ind w:left="567" w:hanging="567"/>
        <w:rPr>
          <w:rFonts w:ascii="Gill Sans MT" w:hAnsi="Gill Sans MT"/>
          <w:sz w:val="32"/>
          <w:shd w:val="clear" w:color="auto" w:fill="FFFFFF"/>
        </w:rPr>
      </w:pPr>
      <w:bookmarkStart w:id="1" w:name="_Toc495485022"/>
      <w:bookmarkEnd w:id="0"/>
      <w:r w:rsidRPr="00135A99">
        <w:rPr>
          <w:rFonts w:ascii="Gill Sans MT" w:hAnsi="Gill Sans MT"/>
          <w:sz w:val="32"/>
          <w:shd w:val="clear" w:color="auto" w:fill="FFFFFF"/>
        </w:rPr>
        <w:lastRenderedPageBreak/>
        <w:t>Chairman’s Report</w:t>
      </w:r>
      <w:bookmarkEnd w:id="1"/>
    </w:p>
    <w:p w14:paraId="19657088" w14:textId="77777777" w:rsidR="00FC404C" w:rsidRPr="00982C00" w:rsidRDefault="00FC404C" w:rsidP="00FC404C">
      <w:pPr>
        <w:ind w:left="567"/>
        <w:rPr>
          <w:sz w:val="24"/>
          <w:szCs w:val="24"/>
          <w:shd w:val="clear" w:color="auto" w:fill="FFFFFF"/>
        </w:rPr>
      </w:pPr>
      <w:r w:rsidRPr="00982C00">
        <w:rPr>
          <w:sz w:val="24"/>
          <w:szCs w:val="24"/>
          <w:shd w:val="clear" w:color="auto" w:fill="FFFFFF"/>
        </w:rPr>
        <w:t>There has been an increase in the number of appeals this year, reflecting, I suspect, an increased level of economic activity: it requires development proposals to generate appeals.</w:t>
      </w:r>
    </w:p>
    <w:p w14:paraId="639AC076" w14:textId="77777777" w:rsidR="00FC404C" w:rsidRPr="00982C00" w:rsidRDefault="00FC404C" w:rsidP="0018383A">
      <w:pPr>
        <w:ind w:left="567"/>
        <w:rPr>
          <w:sz w:val="24"/>
          <w:szCs w:val="24"/>
          <w:shd w:val="clear" w:color="auto" w:fill="FFFFFF"/>
        </w:rPr>
      </w:pPr>
      <w:r w:rsidRPr="00982C00">
        <w:rPr>
          <w:sz w:val="24"/>
          <w:szCs w:val="24"/>
          <w:shd w:val="clear" w:color="auto" w:fill="FFFFFF"/>
        </w:rPr>
        <w:t>Otherwise t</w:t>
      </w:r>
      <w:r w:rsidR="0018383A" w:rsidRPr="00982C00">
        <w:rPr>
          <w:sz w:val="24"/>
          <w:szCs w:val="24"/>
          <w:shd w:val="clear" w:color="auto" w:fill="FFFFFF"/>
        </w:rPr>
        <w:t xml:space="preserve">he reporting year has been very much a case of </w:t>
      </w:r>
      <w:r w:rsidR="00C27221" w:rsidRPr="00982C00">
        <w:rPr>
          <w:sz w:val="24"/>
          <w:szCs w:val="24"/>
          <w:shd w:val="clear" w:color="auto" w:fill="FFFFFF"/>
        </w:rPr>
        <w:t>“</w:t>
      </w:r>
      <w:r w:rsidR="0018383A" w:rsidRPr="00982C00">
        <w:rPr>
          <w:sz w:val="24"/>
          <w:szCs w:val="24"/>
          <w:shd w:val="clear" w:color="auto" w:fill="FFFFFF"/>
        </w:rPr>
        <w:t>business as usual</w:t>
      </w:r>
      <w:r w:rsidR="00C27221" w:rsidRPr="00982C00">
        <w:rPr>
          <w:sz w:val="24"/>
          <w:szCs w:val="24"/>
          <w:shd w:val="clear" w:color="auto" w:fill="FFFFFF"/>
        </w:rPr>
        <w:t>”</w:t>
      </w:r>
      <w:r w:rsidR="0018383A" w:rsidRPr="00982C00">
        <w:rPr>
          <w:sz w:val="24"/>
          <w:szCs w:val="24"/>
          <w:shd w:val="clear" w:color="auto" w:fill="FFFFFF"/>
        </w:rPr>
        <w:t xml:space="preserve">, with the majority of work undertaken by the Tribunal relating to a review of council planning decisions. </w:t>
      </w:r>
      <w:r w:rsidRPr="00982C00">
        <w:rPr>
          <w:sz w:val="24"/>
          <w:szCs w:val="24"/>
          <w:shd w:val="clear" w:color="auto" w:fill="FFFFFF"/>
        </w:rPr>
        <w:t>This work</w:t>
      </w:r>
      <w:r w:rsidR="00F15C9E" w:rsidRPr="00982C00">
        <w:rPr>
          <w:sz w:val="24"/>
          <w:szCs w:val="24"/>
          <w:shd w:val="clear" w:color="auto" w:fill="FFFFFF"/>
        </w:rPr>
        <w:t xml:space="preserve"> constitutes the major review function undertaken by the Tribunal. </w:t>
      </w:r>
    </w:p>
    <w:p w14:paraId="42D64B67" w14:textId="77777777" w:rsidR="0059010E" w:rsidRPr="00982C00" w:rsidRDefault="0059010E" w:rsidP="0059010E">
      <w:pPr>
        <w:ind w:left="567"/>
        <w:rPr>
          <w:sz w:val="24"/>
          <w:szCs w:val="24"/>
          <w:shd w:val="clear" w:color="auto" w:fill="FFFFFF"/>
        </w:rPr>
      </w:pPr>
      <w:r w:rsidRPr="00982C00">
        <w:rPr>
          <w:sz w:val="24"/>
          <w:szCs w:val="24"/>
          <w:shd w:val="clear" w:color="auto" w:fill="FFFFFF"/>
        </w:rPr>
        <w:t xml:space="preserve">The Tribunal is responsible for appeals under a number of acts, including the following:  </w:t>
      </w:r>
    </w:p>
    <w:p w14:paraId="321794C5" w14:textId="77777777" w:rsidR="0059010E" w:rsidRPr="00982C00" w:rsidRDefault="0059010E" w:rsidP="0059010E">
      <w:pPr>
        <w:numPr>
          <w:ilvl w:val="0"/>
          <w:numId w:val="28"/>
        </w:numPr>
        <w:tabs>
          <w:tab w:val="clear" w:pos="360"/>
          <w:tab w:val="num" w:pos="-360"/>
        </w:tabs>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Agricultural and Veterinary Chemicals (Control of Use) Act 1995;</w:t>
      </w:r>
    </w:p>
    <w:p w14:paraId="4DB3280D" w14:textId="0FE09863"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 xml:space="preserve">Building Act </w:t>
      </w:r>
      <w:r w:rsidR="00982C00">
        <w:rPr>
          <w:rFonts w:eastAsia="Times New Roman" w:cs="Arial"/>
          <w:i/>
          <w:sz w:val="24"/>
          <w:szCs w:val="24"/>
          <w:lang w:val="en-GB" w:eastAsia="en-AU"/>
        </w:rPr>
        <w:t>2016</w:t>
      </w:r>
      <w:r w:rsidRPr="00982C00">
        <w:rPr>
          <w:rFonts w:eastAsia="Times New Roman" w:cs="Arial"/>
          <w:i/>
          <w:sz w:val="24"/>
          <w:szCs w:val="24"/>
          <w:lang w:val="en-GB" w:eastAsia="en-AU"/>
        </w:rPr>
        <w:t>;</w:t>
      </w:r>
    </w:p>
    <w:p w14:paraId="6D14566F" w14:textId="2395A530" w:rsidR="0059010E" w:rsidRPr="00982C00" w:rsidRDefault="00982C00" w:rsidP="0059010E">
      <w:pPr>
        <w:numPr>
          <w:ilvl w:val="0"/>
          <w:numId w:val="28"/>
        </w:numPr>
        <w:spacing w:before="120" w:line="240" w:lineRule="auto"/>
        <w:ind w:left="1134" w:hanging="567"/>
        <w:jc w:val="both"/>
        <w:rPr>
          <w:rFonts w:eastAsia="Times New Roman" w:cs="Arial"/>
          <w:i/>
          <w:sz w:val="24"/>
          <w:szCs w:val="24"/>
          <w:lang w:val="en-GB" w:eastAsia="en-AU"/>
        </w:rPr>
      </w:pPr>
      <w:r>
        <w:rPr>
          <w:rFonts w:eastAsia="Times New Roman" w:cs="Arial"/>
          <w:i/>
          <w:sz w:val="24"/>
          <w:szCs w:val="24"/>
          <w:lang w:val="en-GB" w:eastAsia="en-AU"/>
        </w:rPr>
        <w:t>Building Regulations 2016</w:t>
      </w:r>
      <w:r w:rsidR="0059010E" w:rsidRPr="00982C00">
        <w:rPr>
          <w:rFonts w:eastAsia="Times New Roman" w:cs="Arial"/>
          <w:i/>
          <w:sz w:val="24"/>
          <w:szCs w:val="24"/>
          <w:lang w:val="en-GB" w:eastAsia="en-AU"/>
        </w:rPr>
        <w:t>;</w:t>
      </w:r>
    </w:p>
    <w:p w14:paraId="29899948"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Environmental Management and Pollution Control Act 1994;</w:t>
      </w:r>
    </w:p>
    <w:p w14:paraId="1ECA175B"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Fire Service Act 1979</w:t>
      </w:r>
    </w:p>
    <w:p w14:paraId="49EEBA60"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 xml:space="preserve">Gas Act 2000; </w:t>
      </w:r>
    </w:p>
    <w:p w14:paraId="6670D72E"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Gas Pipelines Act 2000;</w:t>
      </w:r>
    </w:p>
    <w:p w14:paraId="11FBE58B"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General Fire Regulations 2010;</w:t>
      </w:r>
    </w:p>
    <w:p w14:paraId="07A1B335"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Historic Cultural Heritage Act 1995;</w:t>
      </w:r>
    </w:p>
    <w:p w14:paraId="6164A416"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Inland Fisheries Act 1995;</w:t>
      </w:r>
    </w:p>
    <w:p w14:paraId="6CF7C3CB"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Land Use Planning and Approvals Act 1993;</w:t>
      </w:r>
    </w:p>
    <w:p w14:paraId="781F40D9"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Living Marine Resources Management Act 1995;</w:t>
      </w:r>
    </w:p>
    <w:p w14:paraId="6207B9A5"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Local Government (Highways) Act 1982;</w:t>
      </w:r>
    </w:p>
    <w:p w14:paraId="5D69CFAC"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Local Government Act 1993;</w:t>
      </w:r>
    </w:p>
    <w:p w14:paraId="3F50E66E"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Marine Farming Planning Act 1995;</w:t>
      </w:r>
    </w:p>
    <w:p w14:paraId="1DA4E7D9"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National Parks and Reserves Management Act 2002;</w:t>
      </w:r>
    </w:p>
    <w:p w14:paraId="5A5F3A29" w14:textId="6DC8F441"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Plumbing Regulations 20</w:t>
      </w:r>
      <w:r w:rsidR="00982C00">
        <w:rPr>
          <w:rFonts w:eastAsia="Times New Roman" w:cs="Arial"/>
          <w:i/>
          <w:sz w:val="24"/>
          <w:szCs w:val="24"/>
          <w:lang w:val="en-GB" w:eastAsia="en-AU"/>
        </w:rPr>
        <w:t>1</w:t>
      </w:r>
      <w:r w:rsidRPr="00982C00">
        <w:rPr>
          <w:rFonts w:eastAsia="Times New Roman" w:cs="Arial"/>
          <w:i/>
          <w:sz w:val="24"/>
          <w:szCs w:val="24"/>
          <w:lang w:val="en-GB" w:eastAsia="en-AU"/>
        </w:rPr>
        <w:t>4;</w:t>
      </w:r>
    </w:p>
    <w:p w14:paraId="124717EE"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Public Health Act 1997;</w:t>
      </w:r>
    </w:p>
    <w:p w14:paraId="4C6DC18E"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Strata Titles Act 1998;</w:t>
      </w:r>
    </w:p>
    <w:p w14:paraId="29A731FD"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lastRenderedPageBreak/>
        <w:t>Threatened Species Protection Act 1995;</w:t>
      </w:r>
    </w:p>
    <w:p w14:paraId="0E3582BE"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Water and Sewerage Industry Act 2008; and</w:t>
      </w:r>
    </w:p>
    <w:p w14:paraId="35E55F9B" w14:textId="77777777" w:rsidR="0059010E" w:rsidRPr="00982C00" w:rsidRDefault="0059010E" w:rsidP="0059010E">
      <w:pPr>
        <w:numPr>
          <w:ilvl w:val="0"/>
          <w:numId w:val="28"/>
        </w:numPr>
        <w:spacing w:before="120" w:line="240" w:lineRule="auto"/>
        <w:ind w:left="1134" w:hanging="567"/>
        <w:jc w:val="both"/>
        <w:rPr>
          <w:rFonts w:eastAsia="Times New Roman" w:cs="Arial"/>
          <w:i/>
          <w:sz w:val="24"/>
          <w:szCs w:val="24"/>
          <w:lang w:val="en-GB" w:eastAsia="en-AU"/>
        </w:rPr>
      </w:pPr>
      <w:r w:rsidRPr="00982C00">
        <w:rPr>
          <w:rFonts w:eastAsia="Times New Roman" w:cs="Arial"/>
          <w:i/>
          <w:sz w:val="24"/>
          <w:szCs w:val="24"/>
          <w:lang w:val="en-GB" w:eastAsia="en-AU"/>
        </w:rPr>
        <w:t>Water Management Act 1999.</w:t>
      </w:r>
    </w:p>
    <w:p w14:paraId="3B919A12" w14:textId="77777777" w:rsidR="0059010E" w:rsidRPr="00982C00" w:rsidRDefault="0059010E" w:rsidP="0018383A">
      <w:pPr>
        <w:ind w:left="567"/>
        <w:rPr>
          <w:sz w:val="24"/>
          <w:szCs w:val="24"/>
          <w:shd w:val="clear" w:color="auto" w:fill="FFFFFF"/>
        </w:rPr>
      </w:pPr>
      <w:r w:rsidRPr="00982C00">
        <w:rPr>
          <w:sz w:val="24"/>
          <w:szCs w:val="24"/>
          <w:shd w:val="clear" w:color="auto" w:fill="FFFFFF"/>
        </w:rPr>
        <w:t xml:space="preserve">During the reporting year, legislation passed both Houses of Parliament conferring jurisdiction upon the Tribunal in relation to neighbourhood disputes involving vegetation.  The </w:t>
      </w:r>
      <w:r w:rsidRPr="00982C00">
        <w:rPr>
          <w:i/>
          <w:sz w:val="24"/>
          <w:szCs w:val="24"/>
          <w:shd w:val="clear" w:color="auto" w:fill="FFFFFF"/>
        </w:rPr>
        <w:t>Neighbourhood Disputes (Vegetation) Act 2017</w:t>
      </w:r>
      <w:r w:rsidRPr="00982C00">
        <w:rPr>
          <w:sz w:val="24"/>
          <w:szCs w:val="24"/>
          <w:shd w:val="clear" w:color="auto" w:fill="FFFFFF"/>
        </w:rPr>
        <w:t xml:space="preserve"> is the result of the adoption of recommendations made by the Tasmanian Law Reform Institute in its final report (Problem Trees and Hedges – Access to Sunlight and Views).  As well as embracing the recommendations in that report relating to sunlight and views, the scope of the Act was extended to other disputes between neighbours involving vegetation.  This is a welcome reform which provides a forum within which disputes can be resolved. The creation of the jurisdiction will provide a welcome “circuit breaker” for disputes which have previously had no outlet for resolution. Or at least no proper outlet. The legislation proposes a mechanism for informal resolution where possible, and such approach sits well with the Tribunal’s entrenched practice of alternative dispute resolution, a process which continues to achieve high rates of resolution in appeals. </w:t>
      </w:r>
      <w:r w:rsidR="001E7253" w:rsidRPr="00982C00">
        <w:rPr>
          <w:sz w:val="24"/>
          <w:szCs w:val="24"/>
          <w:shd w:val="clear" w:color="auto" w:fill="FFFFFF"/>
        </w:rPr>
        <w:t>The Tribunal has finalised practice directions for the purpose of these appeals to enable the jurisdic</w:t>
      </w:r>
      <w:r w:rsidR="00B875A6" w:rsidRPr="00982C00">
        <w:rPr>
          <w:sz w:val="24"/>
          <w:szCs w:val="24"/>
          <w:shd w:val="clear" w:color="auto" w:fill="FFFFFF"/>
        </w:rPr>
        <w:t>tion to be</w:t>
      </w:r>
      <w:r w:rsidR="001E7253" w:rsidRPr="00982C00">
        <w:rPr>
          <w:sz w:val="24"/>
          <w:szCs w:val="24"/>
          <w:shd w:val="clear" w:color="auto" w:fill="FFFFFF"/>
        </w:rPr>
        <w:t>come “active”</w:t>
      </w:r>
      <w:r w:rsidR="00B875A6" w:rsidRPr="00982C00">
        <w:rPr>
          <w:sz w:val="24"/>
          <w:szCs w:val="24"/>
          <w:shd w:val="clear" w:color="auto" w:fill="FFFFFF"/>
        </w:rPr>
        <w:t xml:space="preserve"> as soon as the Act takes effect.</w:t>
      </w:r>
    </w:p>
    <w:p w14:paraId="5BD0796E" w14:textId="6F7C91D5" w:rsidR="005C4F73" w:rsidRPr="00982C00" w:rsidRDefault="0018383A" w:rsidP="00B875A6">
      <w:pPr>
        <w:ind w:left="567"/>
        <w:rPr>
          <w:sz w:val="24"/>
          <w:szCs w:val="24"/>
          <w:shd w:val="clear" w:color="auto" w:fill="FFFFFF"/>
        </w:rPr>
      </w:pPr>
      <w:r w:rsidRPr="00982C00">
        <w:rPr>
          <w:sz w:val="24"/>
          <w:szCs w:val="24"/>
          <w:shd w:val="clear" w:color="auto" w:fill="FFFFFF"/>
        </w:rPr>
        <w:t xml:space="preserve">As in previous years, </w:t>
      </w:r>
      <w:r w:rsidR="00AE454C" w:rsidRPr="00982C00">
        <w:rPr>
          <w:sz w:val="24"/>
          <w:szCs w:val="24"/>
          <w:shd w:val="clear" w:color="auto" w:fill="FFFFFF"/>
        </w:rPr>
        <w:t>most</w:t>
      </w:r>
      <w:r w:rsidRPr="00982C00">
        <w:rPr>
          <w:sz w:val="24"/>
          <w:szCs w:val="24"/>
          <w:shd w:val="clear" w:color="auto" w:fill="FFFFFF"/>
        </w:rPr>
        <w:t xml:space="preserve"> of the appeals which have come before the Tribunal involve council determinations which are contrary to the terms of the internal advice of council’s own planners.  Last year I suggested that this may reflect the fact that </w:t>
      </w:r>
      <w:r w:rsidR="00982C00">
        <w:rPr>
          <w:sz w:val="24"/>
          <w:szCs w:val="24"/>
          <w:shd w:val="clear" w:color="auto" w:fill="FFFFFF"/>
        </w:rPr>
        <w:t>councillors</w:t>
      </w:r>
      <w:r w:rsidRPr="00982C00">
        <w:rPr>
          <w:sz w:val="24"/>
          <w:szCs w:val="24"/>
          <w:shd w:val="clear" w:color="auto" w:fill="FFFFFF"/>
        </w:rPr>
        <w:t xml:space="preserve"> see themselves as performing a political function which permits a response that takes account of community views, and gives those views precedence over the terms of the planning scheme. When exercising its planning jurisdiction, a council sits as a planning authority and has an important statutory obligation under the </w:t>
      </w:r>
      <w:r w:rsidRPr="00982C00">
        <w:rPr>
          <w:i/>
          <w:sz w:val="24"/>
          <w:szCs w:val="24"/>
          <w:shd w:val="clear" w:color="auto" w:fill="FFFFFF"/>
        </w:rPr>
        <w:t xml:space="preserve">Land Use Planning &amp; Approvals Act 1993. </w:t>
      </w:r>
      <w:r w:rsidRPr="00982C00">
        <w:rPr>
          <w:sz w:val="24"/>
          <w:szCs w:val="24"/>
          <w:shd w:val="clear" w:color="auto" w:fill="FFFFFF"/>
        </w:rPr>
        <w:t xml:space="preserve"> It is incumbent upon councils to </w:t>
      </w:r>
      <w:r w:rsidR="00EA0715" w:rsidRPr="00982C00">
        <w:rPr>
          <w:sz w:val="24"/>
          <w:szCs w:val="24"/>
          <w:shd w:val="clear" w:color="auto" w:fill="FFFFFF"/>
        </w:rPr>
        <w:t>divorce</w:t>
      </w:r>
      <w:r w:rsidRPr="00982C00">
        <w:rPr>
          <w:sz w:val="24"/>
          <w:szCs w:val="24"/>
          <w:shd w:val="clear" w:color="auto" w:fill="FFFFFF"/>
        </w:rPr>
        <w:t xml:space="preserve"> themselves from external and political or </w:t>
      </w:r>
      <w:r w:rsidR="00EA0715" w:rsidRPr="00982C00">
        <w:rPr>
          <w:sz w:val="24"/>
          <w:szCs w:val="24"/>
          <w:shd w:val="clear" w:color="auto" w:fill="FFFFFF"/>
        </w:rPr>
        <w:t>populist</w:t>
      </w:r>
      <w:r w:rsidRPr="00982C00">
        <w:rPr>
          <w:sz w:val="24"/>
          <w:szCs w:val="24"/>
          <w:shd w:val="clear" w:color="auto" w:fill="FFFFFF"/>
        </w:rPr>
        <w:t xml:space="preserve"> views when approaching their assessment of planning applications. Every applicant for development approval is entitled to a consistent </w:t>
      </w:r>
      <w:r w:rsidR="007067C3" w:rsidRPr="00982C00">
        <w:rPr>
          <w:sz w:val="24"/>
          <w:szCs w:val="24"/>
          <w:shd w:val="clear" w:color="auto" w:fill="FFFFFF"/>
        </w:rPr>
        <w:t xml:space="preserve">application of the planning scheme on its terms, divorced from other agendas. </w:t>
      </w:r>
      <w:r w:rsidR="009133AE" w:rsidRPr="00982C00">
        <w:rPr>
          <w:sz w:val="24"/>
          <w:szCs w:val="24"/>
          <w:shd w:val="clear" w:color="auto" w:fill="FFFFFF"/>
        </w:rPr>
        <w:t xml:space="preserve">The Tribunal will, </w:t>
      </w:r>
      <w:r w:rsidR="00EA0715" w:rsidRPr="00982C00">
        <w:rPr>
          <w:sz w:val="24"/>
          <w:szCs w:val="24"/>
          <w:shd w:val="clear" w:color="auto" w:fill="FFFFFF"/>
        </w:rPr>
        <w:t>inevitably</w:t>
      </w:r>
      <w:r w:rsidR="007067C3" w:rsidRPr="00982C00">
        <w:rPr>
          <w:sz w:val="24"/>
          <w:szCs w:val="24"/>
          <w:shd w:val="clear" w:color="auto" w:fill="FFFFFF"/>
        </w:rPr>
        <w:t xml:space="preserve"> reverse decisions which depart from the terms of the planning scheme, its statutory duty to apply the law according to its terms, and regardless of </w:t>
      </w:r>
      <w:r w:rsidR="006F1797" w:rsidRPr="00982C00">
        <w:rPr>
          <w:sz w:val="24"/>
          <w:szCs w:val="24"/>
          <w:shd w:val="clear" w:color="auto" w:fill="FFFFFF"/>
        </w:rPr>
        <w:t>public opinion</w:t>
      </w:r>
      <w:r w:rsidR="007067C3" w:rsidRPr="00982C00">
        <w:rPr>
          <w:sz w:val="24"/>
          <w:szCs w:val="24"/>
          <w:shd w:val="clear" w:color="auto" w:fill="FFFFFF"/>
        </w:rPr>
        <w:t xml:space="preserve">. Those views find their expression through other channels.  </w:t>
      </w:r>
    </w:p>
    <w:p w14:paraId="67CF6972" w14:textId="77777777" w:rsidR="005C4F73" w:rsidRPr="00982C00" w:rsidRDefault="005C4F73" w:rsidP="0018383A">
      <w:pPr>
        <w:ind w:left="567"/>
        <w:rPr>
          <w:sz w:val="24"/>
          <w:szCs w:val="24"/>
          <w:shd w:val="clear" w:color="auto" w:fill="FFFFFF"/>
        </w:rPr>
      </w:pPr>
      <w:r w:rsidRPr="00982C00">
        <w:rPr>
          <w:sz w:val="24"/>
          <w:szCs w:val="24"/>
          <w:shd w:val="clear" w:color="auto" w:fill="FFFFFF"/>
        </w:rPr>
        <w:t xml:space="preserve">Utilisation of alternative dispute resolution (ADR) methodologies provides a </w:t>
      </w:r>
      <w:r w:rsidR="00AE454C" w:rsidRPr="00982C00">
        <w:rPr>
          <w:sz w:val="24"/>
          <w:szCs w:val="24"/>
          <w:shd w:val="clear" w:color="auto" w:fill="FFFFFF"/>
        </w:rPr>
        <w:t>cost-effective</w:t>
      </w:r>
      <w:r w:rsidRPr="00982C00">
        <w:rPr>
          <w:sz w:val="24"/>
          <w:szCs w:val="24"/>
          <w:shd w:val="clear" w:color="auto" w:fill="FFFFFF"/>
        </w:rPr>
        <w:t xml:space="preserve"> way of resolving disputes and the Tribunal </w:t>
      </w:r>
      <w:r w:rsidR="00EA0715" w:rsidRPr="00982C00">
        <w:rPr>
          <w:sz w:val="24"/>
          <w:szCs w:val="24"/>
          <w:shd w:val="clear" w:color="auto" w:fill="FFFFFF"/>
        </w:rPr>
        <w:t>actively</w:t>
      </w:r>
      <w:r w:rsidRPr="00982C00">
        <w:rPr>
          <w:sz w:val="24"/>
          <w:szCs w:val="24"/>
          <w:shd w:val="clear" w:color="auto" w:fill="FFFFFF"/>
        </w:rPr>
        <w:t xml:space="preserve"> supports the process by providing three dedicated specialis</w:t>
      </w:r>
      <w:r w:rsidR="00A84689" w:rsidRPr="00982C00">
        <w:rPr>
          <w:sz w:val="24"/>
          <w:szCs w:val="24"/>
          <w:shd w:val="clear" w:color="auto" w:fill="FFFFFF"/>
        </w:rPr>
        <w:t>t mediators who are able to assis</w:t>
      </w:r>
      <w:r w:rsidRPr="00982C00">
        <w:rPr>
          <w:sz w:val="24"/>
          <w:szCs w:val="24"/>
          <w:shd w:val="clear" w:color="auto" w:fill="FFFFFF"/>
        </w:rPr>
        <w:t xml:space="preserve">t parties to identify issues in dispute and provide a forum within which issues can be explored and resolved. </w:t>
      </w:r>
      <w:r w:rsidR="00A84689" w:rsidRPr="00982C00">
        <w:rPr>
          <w:sz w:val="24"/>
          <w:szCs w:val="24"/>
          <w:shd w:val="clear" w:color="auto" w:fill="FFFFFF"/>
        </w:rPr>
        <w:t>R</w:t>
      </w:r>
      <w:r w:rsidRPr="00982C00">
        <w:rPr>
          <w:sz w:val="24"/>
          <w:szCs w:val="24"/>
          <w:shd w:val="clear" w:color="auto" w:fill="FFFFFF"/>
        </w:rPr>
        <w:t xml:space="preserve">esolution through ADR is achieved </w:t>
      </w:r>
      <w:r w:rsidR="00A84689" w:rsidRPr="00982C00">
        <w:rPr>
          <w:sz w:val="24"/>
          <w:szCs w:val="24"/>
          <w:shd w:val="clear" w:color="auto" w:fill="FFFFFF"/>
        </w:rPr>
        <w:t>at</w:t>
      </w:r>
      <w:r w:rsidRPr="00982C00">
        <w:rPr>
          <w:sz w:val="24"/>
          <w:szCs w:val="24"/>
          <w:shd w:val="clear" w:color="auto" w:fill="FFFFFF"/>
        </w:rPr>
        <w:t xml:space="preserve"> significantly lo</w:t>
      </w:r>
      <w:r w:rsidR="00A84689" w:rsidRPr="00982C00">
        <w:rPr>
          <w:sz w:val="24"/>
          <w:szCs w:val="24"/>
          <w:shd w:val="clear" w:color="auto" w:fill="FFFFFF"/>
        </w:rPr>
        <w:t>wer cost than is the case if a</w:t>
      </w:r>
      <w:r w:rsidRPr="00982C00">
        <w:rPr>
          <w:sz w:val="24"/>
          <w:szCs w:val="24"/>
          <w:shd w:val="clear" w:color="auto" w:fill="FFFFFF"/>
        </w:rPr>
        <w:t xml:space="preserve"> matter </w:t>
      </w:r>
      <w:r w:rsidR="00C82C08" w:rsidRPr="00982C00">
        <w:rPr>
          <w:sz w:val="24"/>
          <w:szCs w:val="24"/>
          <w:shd w:val="clear" w:color="auto" w:fill="FFFFFF"/>
        </w:rPr>
        <w:t xml:space="preserve">proceeds to </w:t>
      </w:r>
      <w:r w:rsidR="00A84689" w:rsidRPr="00982C00">
        <w:rPr>
          <w:sz w:val="24"/>
          <w:szCs w:val="24"/>
          <w:shd w:val="clear" w:color="auto" w:fill="FFFFFF"/>
        </w:rPr>
        <w:t xml:space="preserve">hearing.  Accordingly the Tribunal places significant </w:t>
      </w:r>
      <w:r w:rsidR="00A84689" w:rsidRPr="00982C00">
        <w:rPr>
          <w:sz w:val="24"/>
          <w:szCs w:val="24"/>
          <w:shd w:val="clear" w:color="auto" w:fill="FFFFFF"/>
        </w:rPr>
        <w:lastRenderedPageBreak/>
        <w:t>emphasis upon it, devoting resources to the con</w:t>
      </w:r>
      <w:r w:rsidR="00FB4CB2" w:rsidRPr="00982C00">
        <w:rPr>
          <w:sz w:val="24"/>
          <w:szCs w:val="24"/>
          <w:shd w:val="clear" w:color="auto" w:fill="FFFFFF"/>
        </w:rPr>
        <w:t>tinuing professional development of its mediators.</w:t>
      </w:r>
    </w:p>
    <w:p w14:paraId="1B0D1741" w14:textId="6A1D5FEB" w:rsidR="00C82C08" w:rsidRPr="00982C00" w:rsidRDefault="00C82C08" w:rsidP="0018383A">
      <w:pPr>
        <w:ind w:left="567"/>
        <w:rPr>
          <w:sz w:val="24"/>
          <w:szCs w:val="24"/>
          <w:shd w:val="clear" w:color="auto" w:fill="FFFFFF"/>
        </w:rPr>
      </w:pPr>
      <w:r w:rsidRPr="00982C00">
        <w:rPr>
          <w:sz w:val="24"/>
          <w:szCs w:val="24"/>
          <w:shd w:val="clear" w:color="auto" w:fill="FFFFFF"/>
        </w:rPr>
        <w:t>I record my considerable appreciation for the work of Jarrod Bryan, Sally Bridge and Nick Mackey</w:t>
      </w:r>
      <w:r w:rsidR="00FB4CB2" w:rsidRPr="00982C00">
        <w:rPr>
          <w:sz w:val="24"/>
          <w:szCs w:val="24"/>
          <w:shd w:val="clear" w:color="auto" w:fill="FFFFFF"/>
        </w:rPr>
        <w:t xml:space="preserve"> in this respect</w:t>
      </w:r>
      <w:r w:rsidRPr="00982C00">
        <w:rPr>
          <w:sz w:val="24"/>
          <w:szCs w:val="24"/>
          <w:shd w:val="clear" w:color="auto" w:fill="FFFFFF"/>
        </w:rPr>
        <w:t>.  In the reporting year</w:t>
      </w:r>
      <w:r w:rsidR="009B714D" w:rsidRPr="00982C00">
        <w:rPr>
          <w:sz w:val="24"/>
          <w:szCs w:val="24"/>
          <w:shd w:val="clear" w:color="auto" w:fill="FFFFFF"/>
        </w:rPr>
        <w:t>,</w:t>
      </w:r>
      <w:r w:rsidRPr="00982C00">
        <w:rPr>
          <w:sz w:val="24"/>
          <w:szCs w:val="24"/>
          <w:shd w:val="clear" w:color="auto" w:fill="FFFFFF"/>
        </w:rPr>
        <w:t xml:space="preserve"> they have achieved resolution in over 70% of cases. </w:t>
      </w:r>
      <w:r w:rsidR="009B714D" w:rsidRPr="00982C00">
        <w:rPr>
          <w:sz w:val="24"/>
          <w:szCs w:val="24"/>
          <w:shd w:val="clear" w:color="auto" w:fill="FFFFFF"/>
        </w:rPr>
        <w:t xml:space="preserve">This </w:t>
      </w:r>
      <w:r w:rsidR="00C439CC" w:rsidRPr="00982C00">
        <w:rPr>
          <w:sz w:val="24"/>
          <w:szCs w:val="24"/>
          <w:shd w:val="clear" w:color="auto" w:fill="FFFFFF"/>
        </w:rPr>
        <w:t>statistic</w:t>
      </w:r>
      <w:r w:rsidR="009B714D" w:rsidRPr="00982C00">
        <w:rPr>
          <w:sz w:val="24"/>
          <w:szCs w:val="24"/>
          <w:shd w:val="clear" w:color="auto" w:fill="FFFFFF"/>
        </w:rPr>
        <w:t xml:space="preserve"> represent</w:t>
      </w:r>
      <w:r w:rsidR="00AE454C" w:rsidRPr="00982C00">
        <w:rPr>
          <w:sz w:val="24"/>
          <w:szCs w:val="24"/>
          <w:shd w:val="clear" w:color="auto" w:fill="FFFFFF"/>
        </w:rPr>
        <w:t>s</w:t>
      </w:r>
      <w:r w:rsidR="009B714D" w:rsidRPr="00982C00">
        <w:rPr>
          <w:sz w:val="24"/>
          <w:szCs w:val="24"/>
          <w:shd w:val="clear" w:color="auto" w:fill="FFFFFF"/>
        </w:rPr>
        <w:t xml:space="preserve"> significant costs savings to parties wh</w:t>
      </w:r>
      <w:r w:rsidR="00C439CC" w:rsidRPr="00982C00">
        <w:rPr>
          <w:sz w:val="24"/>
          <w:szCs w:val="24"/>
          <w:shd w:val="clear" w:color="auto" w:fill="FFFFFF"/>
        </w:rPr>
        <w:t>o have been sp</w:t>
      </w:r>
      <w:r w:rsidR="009B714D" w:rsidRPr="00982C00">
        <w:rPr>
          <w:sz w:val="24"/>
          <w:szCs w:val="24"/>
          <w:shd w:val="clear" w:color="auto" w:fill="FFFFFF"/>
        </w:rPr>
        <w:t>ared the costs associated with a hearing</w:t>
      </w:r>
      <w:r w:rsidR="00C439CC" w:rsidRPr="00982C00">
        <w:rPr>
          <w:sz w:val="24"/>
          <w:szCs w:val="24"/>
          <w:shd w:val="clear" w:color="auto" w:fill="FFFFFF"/>
        </w:rPr>
        <w:t xml:space="preserve">, and the advantage of a prompt resolution of the dispute. </w:t>
      </w:r>
      <w:r w:rsidRPr="00982C00">
        <w:rPr>
          <w:sz w:val="24"/>
          <w:szCs w:val="24"/>
          <w:shd w:val="clear" w:color="auto" w:fill="FFFFFF"/>
        </w:rPr>
        <w:t xml:space="preserve">This is consistent with </w:t>
      </w:r>
      <w:r w:rsidR="00C439CC" w:rsidRPr="00982C00">
        <w:rPr>
          <w:sz w:val="24"/>
          <w:szCs w:val="24"/>
          <w:shd w:val="clear" w:color="auto" w:fill="FFFFFF"/>
        </w:rPr>
        <w:t xml:space="preserve">the Tribunal’s ADR </w:t>
      </w:r>
      <w:r w:rsidRPr="00982C00">
        <w:rPr>
          <w:sz w:val="24"/>
          <w:szCs w:val="24"/>
          <w:shd w:val="clear" w:color="auto" w:fill="FFFFFF"/>
        </w:rPr>
        <w:t>performance in previous years and reflects the very high sk</w:t>
      </w:r>
      <w:r w:rsidR="00FB4CB2" w:rsidRPr="00982C00">
        <w:rPr>
          <w:sz w:val="24"/>
          <w:szCs w:val="24"/>
          <w:shd w:val="clear" w:color="auto" w:fill="FFFFFF"/>
        </w:rPr>
        <w:t xml:space="preserve">ill set each </w:t>
      </w:r>
      <w:r w:rsidR="00AE454C" w:rsidRPr="00982C00">
        <w:rPr>
          <w:sz w:val="24"/>
          <w:szCs w:val="24"/>
          <w:shd w:val="clear" w:color="auto" w:fill="FFFFFF"/>
        </w:rPr>
        <w:t xml:space="preserve">mediator </w:t>
      </w:r>
      <w:r w:rsidR="00FB4CB2" w:rsidRPr="00982C00">
        <w:rPr>
          <w:sz w:val="24"/>
          <w:szCs w:val="24"/>
          <w:shd w:val="clear" w:color="auto" w:fill="FFFFFF"/>
        </w:rPr>
        <w:t>brings to the task</w:t>
      </w:r>
      <w:r w:rsidRPr="00982C00">
        <w:rPr>
          <w:sz w:val="24"/>
          <w:szCs w:val="24"/>
          <w:shd w:val="clear" w:color="auto" w:fill="FFFFFF"/>
        </w:rPr>
        <w:t>. Their skill</w:t>
      </w:r>
      <w:r w:rsidR="00FB4CB2" w:rsidRPr="00982C00">
        <w:rPr>
          <w:sz w:val="24"/>
          <w:szCs w:val="24"/>
          <w:shd w:val="clear" w:color="auto" w:fill="FFFFFF"/>
        </w:rPr>
        <w:t>s will be called upon in the vegetation</w:t>
      </w:r>
      <w:r w:rsidRPr="00982C00">
        <w:rPr>
          <w:sz w:val="24"/>
          <w:szCs w:val="24"/>
          <w:shd w:val="clear" w:color="auto" w:fill="FFFFFF"/>
        </w:rPr>
        <w:t xml:space="preserve"> </w:t>
      </w:r>
      <w:r w:rsidR="00206552" w:rsidRPr="00982C00">
        <w:rPr>
          <w:sz w:val="24"/>
          <w:szCs w:val="24"/>
          <w:shd w:val="clear" w:color="auto" w:fill="FFFFFF"/>
        </w:rPr>
        <w:t>disputes</w:t>
      </w:r>
      <w:r w:rsidRPr="00982C00">
        <w:rPr>
          <w:sz w:val="24"/>
          <w:szCs w:val="24"/>
          <w:shd w:val="clear" w:color="auto" w:fill="FFFFFF"/>
        </w:rPr>
        <w:t xml:space="preserve"> </w:t>
      </w:r>
      <w:r w:rsidR="00206552" w:rsidRPr="00982C00">
        <w:rPr>
          <w:sz w:val="24"/>
          <w:szCs w:val="24"/>
          <w:shd w:val="clear" w:color="auto" w:fill="FFFFFF"/>
        </w:rPr>
        <w:t>jurisdiction</w:t>
      </w:r>
      <w:r w:rsidRPr="00982C00">
        <w:rPr>
          <w:sz w:val="24"/>
          <w:szCs w:val="24"/>
          <w:shd w:val="clear" w:color="auto" w:fill="FFFFFF"/>
        </w:rPr>
        <w:t xml:space="preserve"> </w:t>
      </w:r>
      <w:r w:rsidR="0004076E" w:rsidRPr="00982C00">
        <w:rPr>
          <w:sz w:val="24"/>
          <w:szCs w:val="24"/>
          <w:shd w:val="clear" w:color="auto" w:fill="FFFFFF"/>
        </w:rPr>
        <w:t>perhaps more than anticipated,</w:t>
      </w:r>
      <w:r w:rsidRPr="00982C00">
        <w:rPr>
          <w:sz w:val="24"/>
          <w:szCs w:val="24"/>
          <w:shd w:val="clear" w:color="auto" w:fill="FFFFFF"/>
        </w:rPr>
        <w:t xml:space="preserve"> as pent-up demand for </w:t>
      </w:r>
      <w:r w:rsidR="00206552" w:rsidRPr="00982C00">
        <w:rPr>
          <w:sz w:val="24"/>
          <w:szCs w:val="24"/>
          <w:shd w:val="clear" w:color="auto" w:fill="FFFFFF"/>
        </w:rPr>
        <w:t>resolution</w:t>
      </w:r>
      <w:r w:rsidRPr="00982C00">
        <w:rPr>
          <w:sz w:val="24"/>
          <w:szCs w:val="24"/>
          <w:shd w:val="clear" w:color="auto" w:fill="FFFFFF"/>
        </w:rPr>
        <w:t xml:space="preserve"> of such </w:t>
      </w:r>
      <w:r w:rsidR="00206552" w:rsidRPr="00982C00">
        <w:rPr>
          <w:sz w:val="24"/>
          <w:szCs w:val="24"/>
          <w:shd w:val="clear" w:color="auto" w:fill="FFFFFF"/>
        </w:rPr>
        <w:t>disputes</w:t>
      </w:r>
      <w:r w:rsidRPr="00982C00">
        <w:rPr>
          <w:sz w:val="24"/>
          <w:szCs w:val="24"/>
          <w:shd w:val="clear" w:color="auto" w:fill="FFFFFF"/>
        </w:rPr>
        <w:t xml:space="preserve"> emerges when the </w:t>
      </w:r>
      <w:r w:rsidR="00117418" w:rsidRPr="00982C00">
        <w:rPr>
          <w:sz w:val="24"/>
          <w:szCs w:val="24"/>
          <w:shd w:val="clear" w:color="auto" w:fill="FFFFFF"/>
        </w:rPr>
        <w:t>A</w:t>
      </w:r>
      <w:r w:rsidR="0004076E" w:rsidRPr="00982C00">
        <w:rPr>
          <w:sz w:val="24"/>
          <w:szCs w:val="24"/>
          <w:shd w:val="clear" w:color="auto" w:fill="FFFFFF"/>
        </w:rPr>
        <w:t xml:space="preserve">ct comes into effect in </w:t>
      </w:r>
      <w:r w:rsidR="00982C00">
        <w:rPr>
          <w:sz w:val="24"/>
          <w:szCs w:val="24"/>
          <w:shd w:val="clear" w:color="auto" w:fill="FFFFFF"/>
        </w:rPr>
        <w:t>December</w:t>
      </w:r>
      <w:r w:rsidRPr="00982C00">
        <w:rPr>
          <w:sz w:val="24"/>
          <w:szCs w:val="24"/>
          <w:shd w:val="clear" w:color="auto" w:fill="FFFFFF"/>
        </w:rPr>
        <w:t xml:space="preserve"> 2017.</w:t>
      </w:r>
    </w:p>
    <w:p w14:paraId="6041CE1C" w14:textId="469A7E2E" w:rsidR="007D6D2C" w:rsidRPr="00982C00" w:rsidRDefault="00C82C08" w:rsidP="009A5AA8">
      <w:pPr>
        <w:ind w:left="567"/>
        <w:rPr>
          <w:sz w:val="24"/>
          <w:szCs w:val="24"/>
          <w:shd w:val="clear" w:color="auto" w:fill="FFFFFF"/>
        </w:rPr>
      </w:pPr>
      <w:r w:rsidRPr="00982C00">
        <w:rPr>
          <w:sz w:val="24"/>
          <w:szCs w:val="24"/>
          <w:shd w:val="clear" w:color="auto" w:fill="FFFFFF"/>
        </w:rPr>
        <w:t xml:space="preserve">It is worth </w:t>
      </w:r>
      <w:r w:rsidR="00206552" w:rsidRPr="00982C00">
        <w:rPr>
          <w:sz w:val="24"/>
          <w:szCs w:val="24"/>
          <w:shd w:val="clear" w:color="auto" w:fill="FFFFFF"/>
        </w:rPr>
        <w:t>emphasising</w:t>
      </w:r>
      <w:r w:rsidRPr="00982C00">
        <w:rPr>
          <w:sz w:val="24"/>
          <w:szCs w:val="24"/>
          <w:shd w:val="clear" w:color="auto" w:fill="FFFFFF"/>
        </w:rPr>
        <w:t xml:space="preserve"> that even when parties achieve a re</w:t>
      </w:r>
      <w:r w:rsidR="00E226BE" w:rsidRPr="00982C00">
        <w:rPr>
          <w:sz w:val="24"/>
          <w:szCs w:val="24"/>
          <w:shd w:val="clear" w:color="auto" w:fill="FFFFFF"/>
        </w:rPr>
        <w:t>solution of matters by agreement</w:t>
      </w:r>
      <w:r w:rsidRPr="00982C00">
        <w:rPr>
          <w:sz w:val="24"/>
          <w:szCs w:val="24"/>
          <w:shd w:val="clear" w:color="auto" w:fill="FFFFFF"/>
        </w:rPr>
        <w:t xml:space="preserve"> the </w:t>
      </w:r>
      <w:r w:rsidRPr="00982C00">
        <w:rPr>
          <w:i/>
          <w:sz w:val="24"/>
          <w:szCs w:val="24"/>
          <w:shd w:val="clear" w:color="auto" w:fill="FFFFFF"/>
        </w:rPr>
        <w:t>Resource Management &amp; Planning Appeal Tribunal Act 1993</w:t>
      </w:r>
      <w:r w:rsidRPr="00982C00">
        <w:rPr>
          <w:sz w:val="24"/>
          <w:szCs w:val="24"/>
        </w:rPr>
        <w:t xml:space="preserve"> requires the Tribunal to make a </w:t>
      </w:r>
      <w:r w:rsidR="00117418" w:rsidRPr="00982C00">
        <w:rPr>
          <w:sz w:val="24"/>
          <w:szCs w:val="24"/>
        </w:rPr>
        <w:t>“</w:t>
      </w:r>
      <w:r w:rsidRPr="00982C00">
        <w:rPr>
          <w:sz w:val="24"/>
          <w:szCs w:val="24"/>
        </w:rPr>
        <w:t>decision</w:t>
      </w:r>
      <w:r w:rsidR="00117418" w:rsidRPr="00982C00">
        <w:rPr>
          <w:sz w:val="24"/>
          <w:szCs w:val="24"/>
        </w:rPr>
        <w:t>”</w:t>
      </w:r>
      <w:r w:rsidRPr="00982C00">
        <w:rPr>
          <w:sz w:val="24"/>
          <w:szCs w:val="24"/>
        </w:rPr>
        <w:t>.  This is not what is known as a consent jurisdiction, which means that parties cannot resolve their disputes by consent and advise the Tribunal to that effect. Rather, the Act requires that in every such case, the consent</w:t>
      </w:r>
      <w:r w:rsidR="00633280" w:rsidRPr="00982C00">
        <w:rPr>
          <w:sz w:val="24"/>
          <w:szCs w:val="24"/>
        </w:rPr>
        <w:t>,</w:t>
      </w:r>
      <w:r w:rsidRPr="00982C00">
        <w:rPr>
          <w:sz w:val="24"/>
          <w:szCs w:val="24"/>
        </w:rPr>
        <w:t xml:space="preserve"> which is </w:t>
      </w:r>
      <w:r w:rsidR="00206552" w:rsidRPr="00982C00">
        <w:rPr>
          <w:sz w:val="24"/>
          <w:szCs w:val="24"/>
        </w:rPr>
        <w:t>recorded</w:t>
      </w:r>
      <w:r w:rsidRPr="00982C00">
        <w:rPr>
          <w:sz w:val="24"/>
          <w:szCs w:val="24"/>
        </w:rPr>
        <w:t xml:space="preserve"> in a memorandum and signed by the parties, </w:t>
      </w:r>
      <w:r w:rsidR="00633280" w:rsidRPr="00982C00">
        <w:rPr>
          <w:sz w:val="24"/>
          <w:szCs w:val="24"/>
          <w:shd w:val="clear" w:color="auto" w:fill="FFFFFF"/>
        </w:rPr>
        <w:t xml:space="preserve">is submitted to the Tribunal for its consideration. </w:t>
      </w:r>
      <w:r w:rsidR="009816EC" w:rsidRPr="00982C00">
        <w:rPr>
          <w:sz w:val="24"/>
          <w:szCs w:val="24"/>
          <w:shd w:val="clear" w:color="auto" w:fill="FFFFFF"/>
        </w:rPr>
        <w:t>The Tribunal reviews</w:t>
      </w:r>
      <w:r w:rsidR="00816E65" w:rsidRPr="00982C00">
        <w:rPr>
          <w:sz w:val="24"/>
          <w:szCs w:val="24"/>
          <w:shd w:val="clear" w:color="auto" w:fill="FFFFFF"/>
        </w:rPr>
        <w:t xml:space="preserve"> closely</w:t>
      </w:r>
      <w:r w:rsidR="009816EC" w:rsidRPr="00982C00">
        <w:rPr>
          <w:sz w:val="24"/>
          <w:szCs w:val="24"/>
          <w:shd w:val="clear" w:color="auto" w:fill="FFFFFF"/>
        </w:rPr>
        <w:t xml:space="preserve"> the terms of such agreement. </w:t>
      </w:r>
      <w:r w:rsidR="00633280" w:rsidRPr="00982C00">
        <w:rPr>
          <w:sz w:val="24"/>
          <w:szCs w:val="24"/>
          <w:shd w:val="clear" w:color="auto" w:fill="FFFFFF"/>
        </w:rPr>
        <w:t xml:space="preserve">If the Tribunal is satisfied that the </w:t>
      </w:r>
      <w:r w:rsidR="00206552" w:rsidRPr="00982C00">
        <w:rPr>
          <w:sz w:val="24"/>
          <w:szCs w:val="24"/>
          <w:shd w:val="clear" w:color="auto" w:fill="FFFFFF"/>
        </w:rPr>
        <w:t>resolution</w:t>
      </w:r>
      <w:r w:rsidR="00633280" w:rsidRPr="00982C00">
        <w:rPr>
          <w:sz w:val="24"/>
          <w:szCs w:val="24"/>
          <w:shd w:val="clear" w:color="auto" w:fill="FFFFFF"/>
        </w:rPr>
        <w:t xml:space="preserve"> which has been achieved is one which it could make because it accords with the provisions of the applicable law or planning scheme, then it will make a decision wh</w:t>
      </w:r>
      <w:r w:rsidR="00816E65" w:rsidRPr="00982C00">
        <w:rPr>
          <w:sz w:val="24"/>
          <w:szCs w:val="24"/>
          <w:shd w:val="clear" w:color="auto" w:fill="FFFFFF"/>
        </w:rPr>
        <w:t>ich gives effect to that agreement</w:t>
      </w:r>
      <w:r w:rsidR="00633280" w:rsidRPr="00982C00">
        <w:rPr>
          <w:sz w:val="24"/>
          <w:szCs w:val="24"/>
          <w:shd w:val="clear" w:color="auto" w:fill="FFFFFF"/>
        </w:rPr>
        <w:t xml:space="preserve">. </w:t>
      </w:r>
      <w:r w:rsidR="00816E65" w:rsidRPr="00982C00">
        <w:rPr>
          <w:sz w:val="24"/>
          <w:szCs w:val="24"/>
          <w:shd w:val="clear" w:color="auto" w:fill="FFFFFF"/>
        </w:rPr>
        <w:t xml:space="preserve">Otherwise it will not </w:t>
      </w:r>
      <w:r w:rsidR="009A5AA8" w:rsidRPr="00982C00">
        <w:rPr>
          <w:sz w:val="24"/>
          <w:szCs w:val="24"/>
          <w:shd w:val="clear" w:color="auto" w:fill="FFFFFF"/>
        </w:rPr>
        <w:t xml:space="preserve">do so </w:t>
      </w:r>
      <w:r w:rsidR="00816E65" w:rsidRPr="00982C00">
        <w:rPr>
          <w:sz w:val="24"/>
          <w:szCs w:val="24"/>
          <w:shd w:val="clear" w:color="auto" w:fill="FFFFFF"/>
        </w:rPr>
        <w:t xml:space="preserve">and parties will be advised of the Tribunal’s reasons for not sanctioning the proposal. </w:t>
      </w:r>
      <w:r w:rsidR="00633280" w:rsidRPr="00982C00">
        <w:rPr>
          <w:sz w:val="24"/>
          <w:szCs w:val="24"/>
          <w:shd w:val="clear" w:color="auto" w:fill="FFFFFF"/>
        </w:rPr>
        <w:t xml:space="preserve">Whilst this may seem an unnecessary additional step, it is one which ensures that the resolution of planning, </w:t>
      </w:r>
      <w:r w:rsidR="00206552" w:rsidRPr="00982C00">
        <w:rPr>
          <w:sz w:val="24"/>
          <w:szCs w:val="24"/>
          <w:shd w:val="clear" w:color="auto" w:fill="FFFFFF"/>
        </w:rPr>
        <w:t>building</w:t>
      </w:r>
      <w:r w:rsidR="00633280" w:rsidRPr="00982C00">
        <w:rPr>
          <w:sz w:val="24"/>
          <w:szCs w:val="24"/>
          <w:shd w:val="clear" w:color="auto" w:fill="FFFFFF"/>
        </w:rPr>
        <w:t xml:space="preserve"> and other disputes within the Tribunal’s jurisdiction, </w:t>
      </w:r>
      <w:r w:rsidR="00EF743D">
        <w:rPr>
          <w:sz w:val="24"/>
          <w:szCs w:val="24"/>
          <w:shd w:val="clear" w:color="auto" w:fill="FFFFFF"/>
        </w:rPr>
        <w:t>are</w:t>
      </w:r>
      <w:r w:rsidR="00633280" w:rsidRPr="00982C00">
        <w:rPr>
          <w:sz w:val="24"/>
          <w:szCs w:val="24"/>
          <w:shd w:val="clear" w:color="auto" w:fill="FFFFFF"/>
        </w:rPr>
        <w:t xml:space="preserve"> subject to </w:t>
      </w:r>
      <w:r w:rsidR="00206552" w:rsidRPr="00982C00">
        <w:rPr>
          <w:sz w:val="24"/>
          <w:szCs w:val="24"/>
          <w:shd w:val="clear" w:color="auto" w:fill="FFFFFF"/>
        </w:rPr>
        <w:t>scrutiny</w:t>
      </w:r>
      <w:r w:rsidR="00633280" w:rsidRPr="00982C00">
        <w:rPr>
          <w:sz w:val="24"/>
          <w:szCs w:val="24"/>
          <w:shd w:val="clear" w:color="auto" w:fill="FFFFFF"/>
        </w:rPr>
        <w:t xml:space="preserve">.   It was no doubt intended by the Parliament that such course would ensure that the public interest was </w:t>
      </w:r>
      <w:r w:rsidR="00206552" w:rsidRPr="00982C00">
        <w:rPr>
          <w:sz w:val="24"/>
          <w:szCs w:val="24"/>
          <w:shd w:val="clear" w:color="auto" w:fill="FFFFFF"/>
        </w:rPr>
        <w:t>protected</w:t>
      </w:r>
      <w:r w:rsidR="00633280" w:rsidRPr="00982C00">
        <w:rPr>
          <w:sz w:val="24"/>
          <w:szCs w:val="24"/>
          <w:shd w:val="clear" w:color="auto" w:fill="FFFFFF"/>
        </w:rPr>
        <w:t>, for it is very much in the public interest that decisions relating to planning and development are consistent with the applicable statutory regime</w:t>
      </w:r>
      <w:r w:rsidR="00204779" w:rsidRPr="00982C00">
        <w:rPr>
          <w:sz w:val="24"/>
          <w:szCs w:val="24"/>
          <w:shd w:val="clear" w:color="auto" w:fill="FFFFFF"/>
        </w:rPr>
        <w:t xml:space="preserve"> (</w:t>
      </w:r>
      <w:r w:rsidR="00633280" w:rsidRPr="00982C00">
        <w:rPr>
          <w:sz w:val="24"/>
          <w:szCs w:val="24"/>
          <w:shd w:val="clear" w:color="auto" w:fill="FFFFFF"/>
        </w:rPr>
        <w:t>and indeed that it is consistently applied</w:t>
      </w:r>
      <w:r w:rsidR="00204779" w:rsidRPr="00982C00">
        <w:rPr>
          <w:sz w:val="24"/>
          <w:szCs w:val="24"/>
          <w:shd w:val="clear" w:color="auto" w:fill="FFFFFF"/>
        </w:rPr>
        <w:t>)</w:t>
      </w:r>
      <w:r w:rsidR="00633280" w:rsidRPr="00982C00">
        <w:rPr>
          <w:sz w:val="24"/>
          <w:szCs w:val="24"/>
          <w:shd w:val="clear" w:color="auto" w:fill="FFFFFF"/>
        </w:rPr>
        <w:t>. These provisions</w:t>
      </w:r>
      <w:r w:rsidR="00204779" w:rsidRPr="00982C00">
        <w:rPr>
          <w:sz w:val="24"/>
          <w:szCs w:val="24"/>
          <w:shd w:val="clear" w:color="auto" w:fill="FFFFFF"/>
        </w:rPr>
        <w:t xml:space="preserve"> </w:t>
      </w:r>
      <w:r w:rsidR="00633280" w:rsidRPr="00982C00">
        <w:rPr>
          <w:sz w:val="24"/>
          <w:szCs w:val="24"/>
          <w:shd w:val="clear" w:color="auto" w:fill="FFFFFF"/>
        </w:rPr>
        <w:t>ensure that there is a transparent process of supervision over development in this State and that it is not susceptible to private deals w</w:t>
      </w:r>
      <w:r w:rsidR="001222BB" w:rsidRPr="00982C00">
        <w:rPr>
          <w:sz w:val="24"/>
          <w:szCs w:val="24"/>
          <w:shd w:val="clear" w:color="auto" w:fill="FFFFFF"/>
        </w:rPr>
        <w:t xml:space="preserve">hich ignore the public interest, </w:t>
      </w:r>
      <w:r w:rsidR="00633280" w:rsidRPr="00982C00">
        <w:rPr>
          <w:sz w:val="24"/>
          <w:szCs w:val="24"/>
          <w:shd w:val="clear" w:color="auto" w:fill="FFFFFF"/>
        </w:rPr>
        <w:t xml:space="preserve">as </w:t>
      </w:r>
      <w:r w:rsidR="001222BB" w:rsidRPr="00982C00">
        <w:rPr>
          <w:sz w:val="24"/>
          <w:szCs w:val="24"/>
          <w:shd w:val="clear" w:color="auto" w:fill="FFFFFF"/>
        </w:rPr>
        <w:t xml:space="preserve">it is </w:t>
      </w:r>
      <w:r w:rsidR="00633280" w:rsidRPr="00982C00">
        <w:rPr>
          <w:sz w:val="24"/>
          <w:szCs w:val="24"/>
          <w:shd w:val="clear" w:color="auto" w:fill="FFFFFF"/>
        </w:rPr>
        <w:t>reflected in the applicable legislation or planning instruments.</w:t>
      </w:r>
      <w:r w:rsidR="009A5AA8" w:rsidRPr="00982C00">
        <w:rPr>
          <w:sz w:val="24"/>
          <w:szCs w:val="24"/>
          <w:shd w:val="clear" w:color="auto" w:fill="FFFFFF"/>
        </w:rPr>
        <w:t xml:space="preserve"> I am pleased to report that the resolutions achieved through Tribunal assisted ADR have satisfied the requirement for compliance in that respect.</w:t>
      </w:r>
    </w:p>
    <w:p w14:paraId="578CFC89" w14:textId="77777777" w:rsidR="009E35D5" w:rsidRPr="00982C00" w:rsidRDefault="009E35D5" w:rsidP="009A5AA8">
      <w:pPr>
        <w:ind w:left="567"/>
        <w:rPr>
          <w:sz w:val="24"/>
          <w:szCs w:val="24"/>
          <w:shd w:val="clear" w:color="auto" w:fill="FFFFFF"/>
        </w:rPr>
      </w:pPr>
      <w:r w:rsidRPr="00982C00">
        <w:rPr>
          <w:sz w:val="24"/>
          <w:szCs w:val="24"/>
          <w:shd w:val="clear" w:color="auto" w:fill="FFFFFF"/>
        </w:rPr>
        <w:t>Matters which were not resolved through ADR have tended to be complex appeals.  That complexity flows from the nature of the development or a combination of the nature of the development and the terms of the planning scheme.</w:t>
      </w:r>
    </w:p>
    <w:p w14:paraId="56C0F0FB" w14:textId="1DFB4A4F" w:rsidR="003D78D9" w:rsidRPr="00982C00" w:rsidRDefault="00633280" w:rsidP="0018383A">
      <w:pPr>
        <w:ind w:left="567"/>
        <w:rPr>
          <w:sz w:val="24"/>
          <w:szCs w:val="24"/>
          <w:shd w:val="clear" w:color="auto" w:fill="FFFFFF"/>
        </w:rPr>
      </w:pPr>
      <w:r w:rsidRPr="00982C00">
        <w:rPr>
          <w:sz w:val="24"/>
          <w:szCs w:val="24"/>
          <w:shd w:val="clear" w:color="auto" w:fill="FFFFFF"/>
        </w:rPr>
        <w:t>The Registrar, Jarrod Bryan, continues his important role in reporting to Government on the implementation of a single tribunal. I</w:t>
      </w:r>
      <w:r w:rsidR="001222BB" w:rsidRPr="00982C00">
        <w:rPr>
          <w:sz w:val="24"/>
          <w:szCs w:val="24"/>
          <w:shd w:val="clear" w:color="auto" w:fill="FFFFFF"/>
        </w:rPr>
        <w:t>n my report last year</w:t>
      </w:r>
      <w:r w:rsidR="00AE454C" w:rsidRPr="00982C00">
        <w:rPr>
          <w:sz w:val="24"/>
          <w:szCs w:val="24"/>
          <w:shd w:val="clear" w:color="auto" w:fill="FFFFFF"/>
        </w:rPr>
        <w:t>,</w:t>
      </w:r>
      <w:r w:rsidR="001222BB" w:rsidRPr="00982C00">
        <w:rPr>
          <w:sz w:val="24"/>
          <w:szCs w:val="24"/>
          <w:shd w:val="clear" w:color="auto" w:fill="FFFFFF"/>
        </w:rPr>
        <w:t xml:space="preserve"> I</w:t>
      </w:r>
      <w:r w:rsidRPr="00982C00">
        <w:rPr>
          <w:sz w:val="24"/>
          <w:szCs w:val="24"/>
          <w:shd w:val="clear" w:color="auto" w:fill="FFFFFF"/>
        </w:rPr>
        <w:t xml:space="preserve"> describe</w:t>
      </w:r>
      <w:r w:rsidR="007D6D2C" w:rsidRPr="00982C00">
        <w:rPr>
          <w:sz w:val="24"/>
          <w:szCs w:val="24"/>
          <w:shd w:val="clear" w:color="auto" w:fill="FFFFFF"/>
        </w:rPr>
        <w:t>d</w:t>
      </w:r>
      <w:r w:rsidRPr="00982C00">
        <w:rPr>
          <w:sz w:val="24"/>
          <w:szCs w:val="24"/>
          <w:shd w:val="clear" w:color="auto" w:fill="FFFFFF"/>
        </w:rPr>
        <w:t xml:space="preserve"> this as the single most important </w:t>
      </w:r>
      <w:r w:rsidR="00206552" w:rsidRPr="00982C00">
        <w:rPr>
          <w:sz w:val="24"/>
          <w:szCs w:val="24"/>
          <w:shd w:val="clear" w:color="auto" w:fill="FFFFFF"/>
        </w:rPr>
        <w:t>administrative</w:t>
      </w:r>
      <w:r w:rsidR="001222BB" w:rsidRPr="00982C00">
        <w:rPr>
          <w:sz w:val="24"/>
          <w:szCs w:val="24"/>
          <w:shd w:val="clear" w:color="auto" w:fill="FFFFFF"/>
        </w:rPr>
        <w:t xml:space="preserve"> law</w:t>
      </w:r>
      <w:r w:rsidRPr="00982C00">
        <w:rPr>
          <w:sz w:val="24"/>
          <w:szCs w:val="24"/>
          <w:shd w:val="clear" w:color="auto" w:fill="FFFFFF"/>
        </w:rPr>
        <w:t xml:space="preserve"> </w:t>
      </w:r>
      <w:r w:rsidR="00206552" w:rsidRPr="00982C00">
        <w:rPr>
          <w:sz w:val="24"/>
          <w:szCs w:val="24"/>
          <w:shd w:val="clear" w:color="auto" w:fill="FFFFFF"/>
        </w:rPr>
        <w:t>project</w:t>
      </w:r>
      <w:r w:rsidR="001222BB" w:rsidRPr="00982C00">
        <w:rPr>
          <w:sz w:val="24"/>
          <w:szCs w:val="24"/>
          <w:shd w:val="clear" w:color="auto" w:fill="FFFFFF"/>
        </w:rPr>
        <w:t xml:space="preserve"> in the</w:t>
      </w:r>
      <w:r w:rsidRPr="00982C00">
        <w:rPr>
          <w:sz w:val="24"/>
          <w:szCs w:val="24"/>
          <w:shd w:val="clear" w:color="auto" w:fill="FFFFFF"/>
        </w:rPr>
        <w:t xml:space="preserve"> State for </w:t>
      </w:r>
      <w:r w:rsidR="00206552" w:rsidRPr="00982C00">
        <w:rPr>
          <w:sz w:val="24"/>
          <w:szCs w:val="24"/>
          <w:shd w:val="clear" w:color="auto" w:fill="FFFFFF"/>
        </w:rPr>
        <w:t>some time</w:t>
      </w:r>
      <w:r w:rsidR="007D6D2C" w:rsidRPr="00982C00">
        <w:rPr>
          <w:sz w:val="24"/>
          <w:szCs w:val="24"/>
          <w:shd w:val="clear" w:color="auto" w:fill="FFFFFF"/>
        </w:rPr>
        <w:t xml:space="preserve">. Tasmania is the only State without a single administrative tribunal, retaining the </w:t>
      </w:r>
      <w:r w:rsidR="007D6D2C" w:rsidRPr="00982C00">
        <w:rPr>
          <w:sz w:val="24"/>
          <w:szCs w:val="24"/>
          <w:shd w:val="clear" w:color="auto" w:fill="FFFFFF"/>
        </w:rPr>
        <w:lastRenderedPageBreak/>
        <w:t xml:space="preserve">fragmented arrangement which requires each </w:t>
      </w:r>
      <w:r w:rsidR="00206552" w:rsidRPr="00982C00">
        <w:rPr>
          <w:sz w:val="24"/>
          <w:szCs w:val="24"/>
          <w:shd w:val="clear" w:color="auto" w:fill="FFFFFF"/>
        </w:rPr>
        <w:t>t</w:t>
      </w:r>
      <w:r w:rsidR="007D6D2C" w:rsidRPr="00982C00">
        <w:rPr>
          <w:sz w:val="24"/>
          <w:szCs w:val="24"/>
          <w:shd w:val="clear" w:color="auto" w:fill="FFFFFF"/>
        </w:rPr>
        <w:t xml:space="preserve">ribunal to have its own </w:t>
      </w:r>
      <w:r w:rsidR="00206552" w:rsidRPr="00982C00">
        <w:rPr>
          <w:sz w:val="24"/>
          <w:szCs w:val="24"/>
          <w:shd w:val="clear" w:color="auto" w:fill="FFFFFF"/>
        </w:rPr>
        <w:t>associated</w:t>
      </w:r>
      <w:r w:rsidR="007D6D2C" w:rsidRPr="00982C00">
        <w:rPr>
          <w:sz w:val="24"/>
          <w:szCs w:val="24"/>
          <w:shd w:val="clear" w:color="auto" w:fill="FFFFFF"/>
        </w:rPr>
        <w:t xml:space="preserve"> administrative support</w:t>
      </w:r>
      <w:r w:rsidR="003D78D9" w:rsidRPr="00982C00">
        <w:rPr>
          <w:sz w:val="24"/>
          <w:szCs w:val="24"/>
          <w:shd w:val="clear" w:color="auto" w:fill="FFFFFF"/>
        </w:rPr>
        <w:t>, and premises</w:t>
      </w:r>
      <w:r w:rsidR="007D6D2C" w:rsidRPr="00982C00">
        <w:rPr>
          <w:sz w:val="24"/>
          <w:szCs w:val="24"/>
          <w:shd w:val="clear" w:color="auto" w:fill="FFFFFF"/>
        </w:rPr>
        <w:t xml:space="preserve">. </w:t>
      </w:r>
      <w:r w:rsidR="003D78D9" w:rsidRPr="00982C00">
        <w:rPr>
          <w:sz w:val="24"/>
          <w:szCs w:val="24"/>
          <w:shd w:val="clear" w:color="auto" w:fill="FFFFFF"/>
        </w:rPr>
        <w:t xml:space="preserve">The consolidation of individual tribunals is a project which has been investigated, considered, debated and acted upon in every other state and territory for the obvious benefits it brings. </w:t>
      </w:r>
      <w:r w:rsidR="00206552" w:rsidRPr="00982C00">
        <w:rPr>
          <w:sz w:val="24"/>
          <w:szCs w:val="24"/>
          <w:shd w:val="clear" w:color="auto" w:fill="FFFFFF"/>
        </w:rPr>
        <w:t>The</w:t>
      </w:r>
      <w:r w:rsidR="007D6D2C" w:rsidRPr="00982C00">
        <w:rPr>
          <w:sz w:val="24"/>
          <w:szCs w:val="24"/>
          <w:shd w:val="clear" w:color="auto" w:fill="FFFFFF"/>
        </w:rPr>
        <w:t xml:space="preserve"> proposal was championed by the former Attorney</w:t>
      </w:r>
      <w:r w:rsidR="00174186" w:rsidRPr="00982C00">
        <w:rPr>
          <w:sz w:val="24"/>
          <w:szCs w:val="24"/>
          <w:shd w:val="clear" w:color="auto" w:fill="FFFFFF"/>
        </w:rPr>
        <w:t>-</w:t>
      </w:r>
      <w:r w:rsidR="007D6D2C" w:rsidRPr="00982C00">
        <w:rPr>
          <w:sz w:val="24"/>
          <w:szCs w:val="24"/>
          <w:shd w:val="clear" w:color="auto" w:fill="FFFFFF"/>
        </w:rPr>
        <w:t xml:space="preserve">General, </w:t>
      </w:r>
      <w:r w:rsidR="00F236C8">
        <w:rPr>
          <w:sz w:val="24"/>
          <w:szCs w:val="24"/>
          <w:shd w:val="clear" w:color="auto" w:fill="FFFFFF"/>
        </w:rPr>
        <w:t>Dr</w:t>
      </w:r>
      <w:bookmarkStart w:id="2" w:name="_GoBack"/>
      <w:bookmarkEnd w:id="2"/>
      <w:r w:rsidR="007D6D2C" w:rsidRPr="00982C00">
        <w:rPr>
          <w:sz w:val="24"/>
          <w:szCs w:val="24"/>
          <w:shd w:val="clear" w:color="auto" w:fill="FFFFFF"/>
        </w:rPr>
        <w:t xml:space="preserve"> Vanessa Goodwin, and it is to be hoped that the important work she undertook in committing resources to </w:t>
      </w:r>
      <w:r w:rsidR="00174186" w:rsidRPr="00982C00">
        <w:rPr>
          <w:sz w:val="24"/>
          <w:szCs w:val="24"/>
          <w:shd w:val="clear" w:color="auto" w:fill="FFFFFF"/>
        </w:rPr>
        <w:t>that vision</w:t>
      </w:r>
      <w:r w:rsidR="007D6D2C" w:rsidRPr="00982C00">
        <w:rPr>
          <w:sz w:val="24"/>
          <w:szCs w:val="24"/>
          <w:shd w:val="clear" w:color="auto" w:fill="FFFFFF"/>
        </w:rPr>
        <w:t xml:space="preserve"> can bear fruit, </w:t>
      </w:r>
      <w:r w:rsidR="003D78D9" w:rsidRPr="00982C00">
        <w:rPr>
          <w:sz w:val="24"/>
          <w:szCs w:val="24"/>
          <w:shd w:val="clear" w:color="auto" w:fill="FFFFFF"/>
        </w:rPr>
        <w:t xml:space="preserve">and be </w:t>
      </w:r>
      <w:r w:rsidR="007D6D2C" w:rsidRPr="00982C00">
        <w:rPr>
          <w:sz w:val="24"/>
          <w:szCs w:val="24"/>
          <w:shd w:val="clear" w:color="auto" w:fill="FFFFFF"/>
        </w:rPr>
        <w:t xml:space="preserve">recognised for the important reform it is. </w:t>
      </w:r>
    </w:p>
    <w:p w14:paraId="42E9A586" w14:textId="77777777" w:rsidR="007D6D2C" w:rsidRPr="00982C00" w:rsidRDefault="007D6D2C" w:rsidP="0018383A">
      <w:pPr>
        <w:ind w:left="567"/>
        <w:rPr>
          <w:sz w:val="24"/>
          <w:szCs w:val="24"/>
          <w:shd w:val="clear" w:color="auto" w:fill="FFFFFF"/>
        </w:rPr>
      </w:pPr>
      <w:r w:rsidRPr="00982C00">
        <w:rPr>
          <w:sz w:val="24"/>
          <w:szCs w:val="24"/>
          <w:shd w:val="clear" w:color="auto" w:fill="FFFFFF"/>
        </w:rPr>
        <w:t>The Tribunal has continued its program of refining its practice and procedures.   This is a</w:t>
      </w:r>
      <w:r w:rsidR="00AE454C" w:rsidRPr="00982C00">
        <w:rPr>
          <w:sz w:val="24"/>
          <w:szCs w:val="24"/>
          <w:shd w:val="clear" w:color="auto" w:fill="FFFFFF"/>
        </w:rPr>
        <w:t>n</w:t>
      </w:r>
      <w:r w:rsidRPr="00982C00">
        <w:rPr>
          <w:sz w:val="24"/>
          <w:szCs w:val="24"/>
          <w:shd w:val="clear" w:color="auto" w:fill="FFFFFF"/>
        </w:rPr>
        <w:t xml:space="preserve"> </w:t>
      </w:r>
      <w:r w:rsidR="0055102A" w:rsidRPr="00982C00">
        <w:rPr>
          <w:sz w:val="24"/>
          <w:szCs w:val="24"/>
          <w:shd w:val="clear" w:color="auto" w:fill="FFFFFF"/>
        </w:rPr>
        <w:t>important task which</w:t>
      </w:r>
      <w:r w:rsidRPr="00982C00">
        <w:rPr>
          <w:sz w:val="24"/>
          <w:szCs w:val="24"/>
          <w:shd w:val="clear" w:color="auto" w:fill="FFFFFF"/>
        </w:rPr>
        <w:t xml:space="preserve"> reflects the Tribunal’s </w:t>
      </w:r>
      <w:r w:rsidR="00206552" w:rsidRPr="00982C00">
        <w:rPr>
          <w:sz w:val="24"/>
          <w:szCs w:val="24"/>
          <w:shd w:val="clear" w:color="auto" w:fill="FFFFFF"/>
        </w:rPr>
        <w:t>intention</w:t>
      </w:r>
      <w:r w:rsidRPr="00982C00">
        <w:rPr>
          <w:sz w:val="24"/>
          <w:szCs w:val="24"/>
          <w:shd w:val="clear" w:color="auto" w:fill="FFFFFF"/>
        </w:rPr>
        <w:t xml:space="preserve"> that </w:t>
      </w:r>
      <w:r w:rsidR="0055102A" w:rsidRPr="00982C00">
        <w:rPr>
          <w:sz w:val="24"/>
          <w:szCs w:val="24"/>
          <w:shd w:val="clear" w:color="auto" w:fill="FFFFFF"/>
        </w:rPr>
        <w:t>those participating</w:t>
      </w:r>
      <w:r w:rsidRPr="00982C00">
        <w:rPr>
          <w:sz w:val="24"/>
          <w:szCs w:val="24"/>
          <w:shd w:val="clear" w:color="auto" w:fill="FFFFFF"/>
        </w:rPr>
        <w:t xml:space="preserve"> in the planning </w:t>
      </w:r>
      <w:r w:rsidR="00E35B10" w:rsidRPr="00982C00">
        <w:rPr>
          <w:sz w:val="24"/>
          <w:szCs w:val="24"/>
          <w:shd w:val="clear" w:color="auto" w:fill="FFFFFF"/>
        </w:rPr>
        <w:t>system</w:t>
      </w:r>
      <w:r w:rsidR="00174186" w:rsidRPr="00982C00">
        <w:rPr>
          <w:sz w:val="24"/>
          <w:szCs w:val="24"/>
          <w:shd w:val="clear" w:color="auto" w:fill="FFFFFF"/>
        </w:rPr>
        <w:t>,</w:t>
      </w:r>
      <w:r w:rsidR="0055102A" w:rsidRPr="00982C00">
        <w:rPr>
          <w:sz w:val="24"/>
          <w:szCs w:val="24"/>
          <w:shd w:val="clear" w:color="auto" w:fill="FFFFFF"/>
        </w:rPr>
        <w:t xml:space="preserve"> and</w:t>
      </w:r>
      <w:r w:rsidRPr="00982C00">
        <w:rPr>
          <w:sz w:val="24"/>
          <w:szCs w:val="24"/>
          <w:shd w:val="clear" w:color="auto" w:fill="FFFFFF"/>
        </w:rPr>
        <w:t xml:space="preserve"> who engage with the Tribunal should enjoy as </w:t>
      </w:r>
      <w:r w:rsidR="00206552" w:rsidRPr="00982C00">
        <w:rPr>
          <w:sz w:val="24"/>
          <w:szCs w:val="24"/>
          <w:shd w:val="clear" w:color="auto" w:fill="FFFFFF"/>
        </w:rPr>
        <w:t>efficient</w:t>
      </w:r>
      <w:r w:rsidRPr="00982C00">
        <w:rPr>
          <w:sz w:val="24"/>
          <w:szCs w:val="24"/>
          <w:shd w:val="clear" w:color="auto" w:fill="FFFFFF"/>
        </w:rPr>
        <w:t xml:space="preserve"> </w:t>
      </w:r>
      <w:r w:rsidR="0055102A" w:rsidRPr="00982C00">
        <w:rPr>
          <w:sz w:val="24"/>
          <w:szCs w:val="24"/>
          <w:shd w:val="clear" w:color="auto" w:fill="FFFFFF"/>
        </w:rPr>
        <w:t xml:space="preserve">a </w:t>
      </w:r>
      <w:r w:rsidRPr="00982C00">
        <w:rPr>
          <w:sz w:val="24"/>
          <w:szCs w:val="24"/>
          <w:shd w:val="clear" w:color="auto" w:fill="FFFFFF"/>
        </w:rPr>
        <w:t xml:space="preserve">process as is possible. This </w:t>
      </w:r>
      <w:r w:rsidR="0055102A" w:rsidRPr="00982C00">
        <w:rPr>
          <w:sz w:val="24"/>
          <w:szCs w:val="24"/>
          <w:shd w:val="clear" w:color="auto" w:fill="FFFFFF"/>
        </w:rPr>
        <w:t xml:space="preserve">review </w:t>
      </w:r>
      <w:r w:rsidRPr="00982C00">
        <w:rPr>
          <w:sz w:val="24"/>
          <w:szCs w:val="24"/>
          <w:shd w:val="clear" w:color="auto" w:fill="FFFFFF"/>
        </w:rPr>
        <w:t xml:space="preserve">process commenced at the </w:t>
      </w:r>
      <w:r w:rsidR="00E572B4" w:rsidRPr="00982C00">
        <w:rPr>
          <w:sz w:val="24"/>
          <w:szCs w:val="24"/>
          <w:shd w:val="clear" w:color="auto" w:fill="FFFFFF"/>
        </w:rPr>
        <w:t>beginning</w:t>
      </w:r>
      <w:r w:rsidRPr="00982C00">
        <w:rPr>
          <w:sz w:val="24"/>
          <w:szCs w:val="24"/>
          <w:shd w:val="clear" w:color="auto" w:fill="FFFFFF"/>
        </w:rPr>
        <w:t xml:space="preserve"> of my tenure with the introduction of a </w:t>
      </w:r>
      <w:r w:rsidR="00544403" w:rsidRPr="00982C00">
        <w:rPr>
          <w:sz w:val="24"/>
          <w:szCs w:val="24"/>
          <w:shd w:val="clear" w:color="auto" w:fill="FFFFFF"/>
        </w:rPr>
        <w:t>requirement for the identification</w:t>
      </w:r>
      <w:r w:rsidR="0055102A" w:rsidRPr="00982C00">
        <w:rPr>
          <w:sz w:val="24"/>
          <w:szCs w:val="24"/>
          <w:shd w:val="clear" w:color="auto" w:fill="FFFFFF"/>
        </w:rPr>
        <w:t xml:space="preserve"> of agreed facts</w:t>
      </w:r>
      <w:r w:rsidRPr="00982C00">
        <w:rPr>
          <w:sz w:val="24"/>
          <w:szCs w:val="24"/>
          <w:shd w:val="clear" w:color="auto" w:fill="FFFFFF"/>
        </w:rPr>
        <w:t xml:space="preserve">, </w:t>
      </w:r>
      <w:r w:rsidR="00750B08" w:rsidRPr="00982C00">
        <w:rPr>
          <w:sz w:val="24"/>
          <w:szCs w:val="24"/>
          <w:shd w:val="clear" w:color="auto" w:fill="FFFFFF"/>
        </w:rPr>
        <w:t xml:space="preserve">compulsory </w:t>
      </w:r>
      <w:r w:rsidR="0055102A" w:rsidRPr="00982C00">
        <w:rPr>
          <w:sz w:val="24"/>
          <w:szCs w:val="24"/>
          <w:shd w:val="clear" w:color="auto" w:fill="FFFFFF"/>
        </w:rPr>
        <w:t xml:space="preserve">conferences of </w:t>
      </w:r>
      <w:r w:rsidR="00544403" w:rsidRPr="00982C00">
        <w:rPr>
          <w:sz w:val="24"/>
          <w:szCs w:val="24"/>
          <w:shd w:val="clear" w:color="auto" w:fill="FFFFFF"/>
        </w:rPr>
        <w:t>expert</w:t>
      </w:r>
      <w:r w:rsidR="0055102A" w:rsidRPr="00982C00">
        <w:rPr>
          <w:sz w:val="24"/>
          <w:szCs w:val="24"/>
          <w:shd w:val="clear" w:color="auto" w:fill="FFFFFF"/>
        </w:rPr>
        <w:t>s</w:t>
      </w:r>
      <w:r w:rsidR="00544403" w:rsidRPr="00982C00">
        <w:rPr>
          <w:sz w:val="24"/>
          <w:szCs w:val="24"/>
          <w:shd w:val="clear" w:color="auto" w:fill="FFFFFF"/>
        </w:rPr>
        <w:t>, and</w:t>
      </w:r>
      <w:r w:rsidRPr="00982C00">
        <w:rPr>
          <w:sz w:val="24"/>
          <w:szCs w:val="24"/>
          <w:shd w:val="clear" w:color="auto" w:fill="FFFFFF"/>
        </w:rPr>
        <w:t xml:space="preserve"> a requirement </w:t>
      </w:r>
      <w:r w:rsidR="00326626" w:rsidRPr="00982C00">
        <w:rPr>
          <w:sz w:val="24"/>
          <w:szCs w:val="24"/>
          <w:shd w:val="clear" w:color="auto" w:fill="FFFFFF"/>
        </w:rPr>
        <w:t>for</w:t>
      </w:r>
      <w:r w:rsidRPr="00982C00">
        <w:rPr>
          <w:sz w:val="24"/>
          <w:szCs w:val="24"/>
          <w:shd w:val="clear" w:color="auto" w:fill="FFFFFF"/>
        </w:rPr>
        <w:t xml:space="preserve"> councils to provide a </w:t>
      </w:r>
      <w:r w:rsidR="00326626" w:rsidRPr="00982C00">
        <w:rPr>
          <w:sz w:val="24"/>
          <w:szCs w:val="24"/>
          <w:shd w:val="clear" w:color="auto" w:fill="FFFFFF"/>
        </w:rPr>
        <w:t>“</w:t>
      </w:r>
      <w:r w:rsidRPr="00982C00">
        <w:rPr>
          <w:sz w:val="24"/>
          <w:szCs w:val="24"/>
          <w:shd w:val="clear" w:color="auto" w:fill="FFFFFF"/>
        </w:rPr>
        <w:t>Statement of Facts &amp; Contentions</w:t>
      </w:r>
      <w:r w:rsidR="00326626" w:rsidRPr="00982C00">
        <w:rPr>
          <w:sz w:val="24"/>
          <w:szCs w:val="24"/>
          <w:shd w:val="clear" w:color="auto" w:fill="FFFFFF"/>
        </w:rPr>
        <w:t>”</w:t>
      </w:r>
      <w:r w:rsidRPr="00982C00">
        <w:rPr>
          <w:sz w:val="24"/>
          <w:szCs w:val="24"/>
          <w:shd w:val="clear" w:color="auto" w:fill="FFFFFF"/>
        </w:rPr>
        <w:t xml:space="preserve"> in</w:t>
      </w:r>
      <w:r w:rsidR="00326626" w:rsidRPr="00982C00">
        <w:rPr>
          <w:sz w:val="24"/>
          <w:szCs w:val="24"/>
          <w:shd w:val="clear" w:color="auto" w:fill="FFFFFF"/>
        </w:rPr>
        <w:t xml:space="preserve"> all</w:t>
      </w:r>
      <w:r w:rsidRPr="00982C00">
        <w:rPr>
          <w:sz w:val="24"/>
          <w:szCs w:val="24"/>
          <w:shd w:val="clear" w:color="auto" w:fill="FFFFFF"/>
        </w:rPr>
        <w:t xml:space="preserve"> </w:t>
      </w:r>
      <w:r w:rsidR="00E572B4" w:rsidRPr="00982C00">
        <w:rPr>
          <w:sz w:val="24"/>
          <w:szCs w:val="24"/>
          <w:shd w:val="clear" w:color="auto" w:fill="FFFFFF"/>
        </w:rPr>
        <w:t>planning appeals</w:t>
      </w:r>
      <w:r w:rsidR="00750B08" w:rsidRPr="00982C00">
        <w:rPr>
          <w:sz w:val="24"/>
          <w:szCs w:val="24"/>
          <w:shd w:val="clear" w:color="auto" w:fill="FFFFFF"/>
        </w:rPr>
        <w:t xml:space="preserve">. This document assists </w:t>
      </w:r>
      <w:r w:rsidRPr="00982C00">
        <w:rPr>
          <w:sz w:val="24"/>
          <w:szCs w:val="24"/>
          <w:shd w:val="clear" w:color="auto" w:fill="FFFFFF"/>
        </w:rPr>
        <w:t xml:space="preserve">the </w:t>
      </w:r>
      <w:r w:rsidR="00E572B4" w:rsidRPr="00982C00">
        <w:rPr>
          <w:sz w:val="24"/>
          <w:szCs w:val="24"/>
          <w:shd w:val="clear" w:color="auto" w:fill="FFFFFF"/>
        </w:rPr>
        <w:t>parties</w:t>
      </w:r>
      <w:r w:rsidRPr="00982C00">
        <w:rPr>
          <w:sz w:val="24"/>
          <w:szCs w:val="24"/>
          <w:shd w:val="clear" w:color="auto" w:fill="FFFFFF"/>
        </w:rPr>
        <w:t xml:space="preserve"> to identify the facts upon which councils rely to make the case it puts in relation to a development </w:t>
      </w:r>
      <w:r w:rsidR="00E572B4" w:rsidRPr="00982C00">
        <w:rPr>
          <w:sz w:val="24"/>
          <w:szCs w:val="24"/>
          <w:shd w:val="clear" w:color="auto" w:fill="FFFFFF"/>
        </w:rPr>
        <w:t xml:space="preserve">proposal. </w:t>
      </w:r>
      <w:r w:rsidRPr="00982C00">
        <w:rPr>
          <w:sz w:val="24"/>
          <w:szCs w:val="24"/>
          <w:shd w:val="clear" w:color="auto" w:fill="FFFFFF"/>
        </w:rPr>
        <w:t xml:space="preserve"> </w:t>
      </w:r>
      <w:r w:rsidR="00750B08" w:rsidRPr="00982C00">
        <w:rPr>
          <w:sz w:val="24"/>
          <w:szCs w:val="24"/>
          <w:shd w:val="clear" w:color="auto" w:fill="FFFFFF"/>
        </w:rPr>
        <w:t>Its</w:t>
      </w:r>
      <w:r w:rsidRPr="00982C00">
        <w:rPr>
          <w:sz w:val="24"/>
          <w:szCs w:val="24"/>
          <w:shd w:val="clear" w:color="auto" w:fill="FFFFFF"/>
        </w:rPr>
        <w:t xml:space="preserve"> early preparation facilitates mediation</w:t>
      </w:r>
      <w:r w:rsidR="00750B08" w:rsidRPr="00982C00">
        <w:rPr>
          <w:sz w:val="24"/>
          <w:szCs w:val="24"/>
          <w:shd w:val="clear" w:color="auto" w:fill="FFFFFF"/>
        </w:rPr>
        <w:t>,</w:t>
      </w:r>
      <w:r w:rsidRPr="00982C00">
        <w:rPr>
          <w:sz w:val="24"/>
          <w:szCs w:val="24"/>
          <w:shd w:val="clear" w:color="auto" w:fill="FFFFFF"/>
        </w:rPr>
        <w:t xml:space="preserve"> as well as enabling neutral expert evaluation to occur. This in turn provides the </w:t>
      </w:r>
      <w:r w:rsidR="00600281" w:rsidRPr="00982C00">
        <w:rPr>
          <w:sz w:val="24"/>
          <w:szCs w:val="24"/>
          <w:shd w:val="clear" w:color="auto" w:fill="FFFFFF"/>
        </w:rPr>
        <w:t>best chance of early resolution. But</w:t>
      </w:r>
      <w:r w:rsidRPr="00982C00">
        <w:rPr>
          <w:sz w:val="24"/>
          <w:szCs w:val="24"/>
          <w:shd w:val="clear" w:color="auto" w:fill="FFFFFF"/>
        </w:rPr>
        <w:t xml:space="preserve"> even if resolution is not achieved, </w:t>
      </w:r>
      <w:r w:rsidR="0038689A" w:rsidRPr="00982C00">
        <w:rPr>
          <w:sz w:val="24"/>
          <w:szCs w:val="24"/>
          <w:shd w:val="clear" w:color="auto" w:fill="FFFFFF"/>
        </w:rPr>
        <w:t>it helps to frame</w:t>
      </w:r>
      <w:r w:rsidR="00600281" w:rsidRPr="00982C00">
        <w:rPr>
          <w:sz w:val="24"/>
          <w:szCs w:val="24"/>
          <w:shd w:val="clear" w:color="auto" w:fill="FFFFFF"/>
        </w:rPr>
        <w:t xml:space="preserve"> the issues at</w:t>
      </w:r>
      <w:r w:rsidRPr="00982C00">
        <w:rPr>
          <w:sz w:val="24"/>
          <w:szCs w:val="24"/>
          <w:shd w:val="clear" w:color="auto" w:fill="FFFFFF"/>
        </w:rPr>
        <w:t xml:space="preserve"> hearing, thus </w:t>
      </w:r>
      <w:r w:rsidR="00E572B4" w:rsidRPr="00982C00">
        <w:rPr>
          <w:sz w:val="24"/>
          <w:szCs w:val="24"/>
          <w:shd w:val="clear" w:color="auto" w:fill="FFFFFF"/>
        </w:rPr>
        <w:t>reducing</w:t>
      </w:r>
      <w:r w:rsidRPr="00982C00">
        <w:rPr>
          <w:sz w:val="24"/>
          <w:szCs w:val="24"/>
          <w:shd w:val="clear" w:color="auto" w:fill="FFFFFF"/>
        </w:rPr>
        <w:t xml:space="preserve"> the cost of preparing for </w:t>
      </w:r>
      <w:r w:rsidR="00E572B4" w:rsidRPr="00982C00">
        <w:rPr>
          <w:sz w:val="24"/>
          <w:szCs w:val="24"/>
          <w:shd w:val="clear" w:color="auto" w:fill="FFFFFF"/>
        </w:rPr>
        <w:t>hearing</w:t>
      </w:r>
      <w:r w:rsidR="00600281" w:rsidRPr="00982C00">
        <w:rPr>
          <w:sz w:val="24"/>
          <w:szCs w:val="24"/>
          <w:shd w:val="clear" w:color="auto" w:fill="FFFFFF"/>
        </w:rPr>
        <w:t xml:space="preserve"> by narrowing</w:t>
      </w:r>
      <w:r w:rsidRPr="00982C00">
        <w:rPr>
          <w:sz w:val="24"/>
          <w:szCs w:val="24"/>
          <w:shd w:val="clear" w:color="auto" w:fill="FFFFFF"/>
        </w:rPr>
        <w:t xml:space="preserve"> the scope of issues required to be addressed by evidence.</w:t>
      </w:r>
      <w:r w:rsidR="00600281" w:rsidRPr="00982C00">
        <w:rPr>
          <w:sz w:val="24"/>
          <w:szCs w:val="24"/>
          <w:shd w:val="clear" w:color="auto" w:fill="FFFFFF"/>
        </w:rPr>
        <w:t xml:space="preserve"> Procedural reform remains an active task in the Tribunal.</w:t>
      </w:r>
    </w:p>
    <w:p w14:paraId="187FE571" w14:textId="77777777" w:rsidR="00AD0907" w:rsidRPr="00982C00" w:rsidRDefault="007D6D2C" w:rsidP="0018383A">
      <w:pPr>
        <w:ind w:left="567"/>
        <w:rPr>
          <w:sz w:val="24"/>
          <w:szCs w:val="24"/>
          <w:shd w:val="clear" w:color="auto" w:fill="FFFFFF"/>
        </w:rPr>
      </w:pPr>
      <w:r w:rsidRPr="00982C00">
        <w:rPr>
          <w:sz w:val="24"/>
          <w:szCs w:val="24"/>
          <w:shd w:val="clear" w:color="auto" w:fill="FFFFFF"/>
        </w:rPr>
        <w:t xml:space="preserve">The Tribunal’s annual </w:t>
      </w:r>
      <w:r w:rsidR="00E572B4" w:rsidRPr="00982C00">
        <w:rPr>
          <w:sz w:val="24"/>
          <w:szCs w:val="24"/>
          <w:shd w:val="clear" w:color="auto" w:fill="FFFFFF"/>
        </w:rPr>
        <w:t>statistics</w:t>
      </w:r>
      <w:r w:rsidRPr="00982C00">
        <w:rPr>
          <w:sz w:val="24"/>
          <w:szCs w:val="24"/>
          <w:shd w:val="clear" w:color="auto" w:fill="FFFFFF"/>
        </w:rPr>
        <w:t xml:space="preserve"> follow this report. In addition to the high rates of resolution through mediation, upon which I have already commented, the Tribunal has continued to achieve a high degree of compliance with the requirement imposed by s16(1)(F) of the governing legislation. This provision, unique in </w:t>
      </w:r>
      <w:r w:rsidR="00E572B4" w:rsidRPr="00982C00">
        <w:rPr>
          <w:sz w:val="24"/>
          <w:szCs w:val="24"/>
          <w:shd w:val="clear" w:color="auto" w:fill="FFFFFF"/>
        </w:rPr>
        <w:t>Australia</w:t>
      </w:r>
      <w:r w:rsidRPr="00982C00">
        <w:rPr>
          <w:sz w:val="24"/>
          <w:szCs w:val="24"/>
          <w:shd w:val="clear" w:color="auto" w:fill="FFFFFF"/>
        </w:rPr>
        <w:t xml:space="preserve">, requires the Tribunal to hear, determine and </w:t>
      </w:r>
      <w:r w:rsidR="00E572B4" w:rsidRPr="00982C00">
        <w:rPr>
          <w:sz w:val="24"/>
          <w:szCs w:val="24"/>
          <w:shd w:val="clear" w:color="auto" w:fill="FFFFFF"/>
        </w:rPr>
        <w:t>deliver</w:t>
      </w:r>
      <w:r w:rsidRPr="00982C00">
        <w:rPr>
          <w:sz w:val="24"/>
          <w:szCs w:val="24"/>
          <w:shd w:val="clear" w:color="auto" w:fill="FFFFFF"/>
        </w:rPr>
        <w:t xml:space="preserve"> written reasons for decisions within 90 days of an appeal being </w:t>
      </w:r>
      <w:r w:rsidR="00E572B4" w:rsidRPr="00982C00">
        <w:rPr>
          <w:sz w:val="24"/>
          <w:szCs w:val="24"/>
          <w:shd w:val="clear" w:color="auto" w:fill="FFFFFF"/>
        </w:rPr>
        <w:t>instituted</w:t>
      </w:r>
      <w:r w:rsidRPr="00982C00">
        <w:rPr>
          <w:sz w:val="24"/>
          <w:szCs w:val="24"/>
          <w:shd w:val="clear" w:color="auto" w:fill="FFFFFF"/>
        </w:rPr>
        <w:t xml:space="preserve">. This is an </w:t>
      </w:r>
      <w:r w:rsidR="00E572B4" w:rsidRPr="00982C00">
        <w:rPr>
          <w:sz w:val="24"/>
          <w:szCs w:val="24"/>
          <w:shd w:val="clear" w:color="auto" w:fill="FFFFFF"/>
        </w:rPr>
        <w:t>unrealistic</w:t>
      </w:r>
      <w:r w:rsidRPr="00982C00">
        <w:rPr>
          <w:sz w:val="24"/>
          <w:szCs w:val="24"/>
          <w:shd w:val="clear" w:color="auto" w:fill="FFFFFF"/>
        </w:rPr>
        <w:t xml:space="preserve"> expectation in many instances </w:t>
      </w:r>
      <w:r w:rsidR="00E37D9C" w:rsidRPr="00982C00">
        <w:rPr>
          <w:sz w:val="24"/>
          <w:szCs w:val="24"/>
          <w:shd w:val="clear" w:color="auto" w:fill="FFFFFF"/>
        </w:rPr>
        <w:t>(</w:t>
      </w:r>
      <w:r w:rsidRPr="00982C00">
        <w:rPr>
          <w:sz w:val="24"/>
          <w:szCs w:val="24"/>
          <w:shd w:val="clear" w:color="auto" w:fill="FFFFFF"/>
        </w:rPr>
        <w:t xml:space="preserve">but not </w:t>
      </w:r>
      <w:r w:rsidR="00E572B4" w:rsidRPr="00982C00">
        <w:rPr>
          <w:sz w:val="24"/>
          <w:szCs w:val="24"/>
          <w:shd w:val="clear" w:color="auto" w:fill="FFFFFF"/>
        </w:rPr>
        <w:t>all</w:t>
      </w:r>
      <w:r w:rsidR="00E37D9C" w:rsidRPr="00982C00">
        <w:rPr>
          <w:sz w:val="24"/>
          <w:szCs w:val="24"/>
          <w:shd w:val="clear" w:color="auto" w:fill="FFFFFF"/>
        </w:rPr>
        <w:t>)</w:t>
      </w:r>
      <w:r w:rsidRPr="00982C00">
        <w:rPr>
          <w:sz w:val="24"/>
          <w:szCs w:val="24"/>
          <w:shd w:val="clear" w:color="auto" w:fill="FFFFFF"/>
        </w:rPr>
        <w:t>. Also unique to this State is the requirement for the Tribunal to obtain the consent of parties in circumstances where the 90 day time limit cannot be achieved. If that consent is not forthcoming, for any reason, the Tribunal must r</w:t>
      </w:r>
      <w:r w:rsidR="00E37D9C" w:rsidRPr="00982C00">
        <w:rPr>
          <w:sz w:val="24"/>
          <w:szCs w:val="24"/>
          <w:shd w:val="clear" w:color="auto" w:fill="FFFFFF"/>
        </w:rPr>
        <w:t>efer the matter to the Minister.  T</w:t>
      </w:r>
      <w:r w:rsidRPr="00982C00">
        <w:rPr>
          <w:sz w:val="24"/>
          <w:szCs w:val="24"/>
          <w:shd w:val="clear" w:color="auto" w:fill="FFFFFF"/>
        </w:rPr>
        <w:t>he Tribunal has no objection</w:t>
      </w:r>
      <w:r w:rsidR="00E37D9C" w:rsidRPr="00982C00">
        <w:rPr>
          <w:sz w:val="24"/>
          <w:szCs w:val="24"/>
          <w:shd w:val="clear" w:color="auto" w:fill="FFFFFF"/>
        </w:rPr>
        <w:t xml:space="preserve"> to</w:t>
      </w:r>
      <w:r w:rsidRPr="00982C00">
        <w:rPr>
          <w:sz w:val="24"/>
          <w:szCs w:val="24"/>
          <w:shd w:val="clear" w:color="auto" w:fill="FFFFFF"/>
        </w:rPr>
        <w:t xml:space="preserve"> the imposition of reasonable timeframes, but the reality of the </w:t>
      </w:r>
      <w:r w:rsidR="009E35D5" w:rsidRPr="00982C00">
        <w:rPr>
          <w:sz w:val="24"/>
          <w:szCs w:val="24"/>
          <w:shd w:val="clear" w:color="auto" w:fill="FFFFFF"/>
        </w:rPr>
        <w:t>90-day</w:t>
      </w:r>
      <w:r w:rsidRPr="00982C00">
        <w:rPr>
          <w:sz w:val="24"/>
          <w:szCs w:val="24"/>
          <w:shd w:val="clear" w:color="auto" w:fill="FFFFFF"/>
        </w:rPr>
        <w:t xml:space="preserve"> time limit is that </w:t>
      </w:r>
      <w:r w:rsidR="00644FA6" w:rsidRPr="00982C00">
        <w:rPr>
          <w:sz w:val="24"/>
          <w:szCs w:val="24"/>
          <w:shd w:val="clear" w:color="auto" w:fill="FFFFFF"/>
        </w:rPr>
        <w:t>often</w:t>
      </w:r>
      <w:r w:rsidRPr="00982C00">
        <w:rPr>
          <w:sz w:val="24"/>
          <w:szCs w:val="24"/>
          <w:shd w:val="clear" w:color="auto" w:fill="FFFFFF"/>
        </w:rPr>
        <w:t xml:space="preserve"> complex </w:t>
      </w:r>
      <w:r w:rsidR="00E572B4" w:rsidRPr="00982C00">
        <w:rPr>
          <w:sz w:val="24"/>
          <w:szCs w:val="24"/>
          <w:shd w:val="clear" w:color="auto" w:fill="FFFFFF"/>
        </w:rPr>
        <w:t>decisions</w:t>
      </w:r>
      <w:r w:rsidRPr="00982C00">
        <w:rPr>
          <w:sz w:val="24"/>
          <w:szCs w:val="24"/>
          <w:shd w:val="clear" w:color="auto" w:fill="FFFFFF"/>
        </w:rPr>
        <w:t xml:space="preserve"> are required to be produced in </w:t>
      </w:r>
      <w:r w:rsidR="00E37D9C" w:rsidRPr="00982C00">
        <w:rPr>
          <w:sz w:val="24"/>
          <w:szCs w:val="24"/>
          <w:shd w:val="clear" w:color="auto" w:fill="FFFFFF"/>
        </w:rPr>
        <w:t>a very short period</w:t>
      </w:r>
      <w:r w:rsidR="00644FA6" w:rsidRPr="00982C00">
        <w:rPr>
          <w:sz w:val="24"/>
          <w:szCs w:val="24"/>
          <w:shd w:val="clear" w:color="auto" w:fill="FFFFFF"/>
        </w:rPr>
        <w:t>: i</w:t>
      </w:r>
      <w:r w:rsidR="006B5876" w:rsidRPr="00982C00">
        <w:rPr>
          <w:sz w:val="24"/>
          <w:szCs w:val="24"/>
          <w:shd w:val="clear" w:color="auto" w:fill="FFFFFF"/>
        </w:rPr>
        <w:t>n a matter of days, the Tribunal is</w:t>
      </w:r>
      <w:r w:rsidR="00AD0907" w:rsidRPr="00982C00">
        <w:rPr>
          <w:sz w:val="24"/>
          <w:szCs w:val="24"/>
          <w:shd w:val="clear" w:color="auto" w:fill="FFFFFF"/>
        </w:rPr>
        <w:t xml:space="preserve"> </w:t>
      </w:r>
      <w:r w:rsidRPr="00982C00">
        <w:rPr>
          <w:sz w:val="24"/>
          <w:szCs w:val="24"/>
          <w:shd w:val="clear" w:color="auto" w:fill="FFFFFF"/>
        </w:rPr>
        <w:t xml:space="preserve">required to </w:t>
      </w:r>
      <w:r w:rsidR="0006099B" w:rsidRPr="00982C00">
        <w:rPr>
          <w:sz w:val="24"/>
          <w:szCs w:val="24"/>
          <w:shd w:val="clear" w:color="auto" w:fill="FFFFFF"/>
        </w:rPr>
        <w:t xml:space="preserve">consider and arbitrate upon </w:t>
      </w:r>
      <w:r w:rsidR="00E572B4" w:rsidRPr="00982C00">
        <w:rPr>
          <w:sz w:val="24"/>
          <w:szCs w:val="24"/>
          <w:shd w:val="clear" w:color="auto" w:fill="FFFFFF"/>
        </w:rPr>
        <w:t>complex</w:t>
      </w:r>
      <w:r w:rsidR="0006099B" w:rsidRPr="00982C00">
        <w:rPr>
          <w:sz w:val="24"/>
          <w:szCs w:val="24"/>
          <w:shd w:val="clear" w:color="auto" w:fill="FFFFFF"/>
        </w:rPr>
        <w:t xml:space="preserve"> </w:t>
      </w:r>
      <w:r w:rsidR="00E572B4" w:rsidRPr="00982C00">
        <w:rPr>
          <w:sz w:val="24"/>
          <w:szCs w:val="24"/>
          <w:shd w:val="clear" w:color="auto" w:fill="FFFFFF"/>
        </w:rPr>
        <w:t>competing</w:t>
      </w:r>
      <w:r w:rsidR="0006099B" w:rsidRPr="00982C00">
        <w:rPr>
          <w:sz w:val="24"/>
          <w:szCs w:val="24"/>
          <w:shd w:val="clear" w:color="auto" w:fill="FFFFFF"/>
        </w:rPr>
        <w:t xml:space="preserve"> expert evidence,</w:t>
      </w:r>
      <w:r w:rsidR="00644FA6" w:rsidRPr="00982C00">
        <w:rPr>
          <w:sz w:val="24"/>
          <w:szCs w:val="24"/>
          <w:shd w:val="clear" w:color="auto" w:fill="FFFFFF"/>
        </w:rPr>
        <w:t xml:space="preserve"> consider the legal issues arising,</w:t>
      </w:r>
      <w:r w:rsidR="0006099B" w:rsidRPr="00982C00">
        <w:rPr>
          <w:sz w:val="24"/>
          <w:szCs w:val="24"/>
          <w:shd w:val="clear" w:color="auto" w:fill="FFFFFF"/>
        </w:rPr>
        <w:t xml:space="preserve"> </w:t>
      </w:r>
      <w:r w:rsidR="00AD0907" w:rsidRPr="00982C00">
        <w:rPr>
          <w:sz w:val="24"/>
          <w:szCs w:val="24"/>
          <w:shd w:val="clear" w:color="auto" w:fill="FFFFFF"/>
        </w:rPr>
        <w:t xml:space="preserve">and </w:t>
      </w:r>
      <w:r w:rsidR="0006099B" w:rsidRPr="00982C00">
        <w:rPr>
          <w:sz w:val="24"/>
          <w:szCs w:val="24"/>
          <w:shd w:val="clear" w:color="auto" w:fill="FFFFFF"/>
        </w:rPr>
        <w:t xml:space="preserve">draft </w:t>
      </w:r>
      <w:r w:rsidR="00644FA6" w:rsidRPr="00982C00">
        <w:rPr>
          <w:sz w:val="24"/>
          <w:szCs w:val="24"/>
          <w:shd w:val="clear" w:color="auto" w:fill="FFFFFF"/>
        </w:rPr>
        <w:t>and settle</w:t>
      </w:r>
      <w:r w:rsidR="00AD0907" w:rsidRPr="00982C00">
        <w:rPr>
          <w:sz w:val="24"/>
          <w:szCs w:val="24"/>
          <w:shd w:val="clear" w:color="auto" w:fill="FFFFFF"/>
        </w:rPr>
        <w:t xml:space="preserve"> its reasons. </w:t>
      </w:r>
    </w:p>
    <w:p w14:paraId="7D91D8C5" w14:textId="77777777" w:rsidR="002B579C" w:rsidRPr="00982C00" w:rsidRDefault="002B579C" w:rsidP="002B579C">
      <w:pPr>
        <w:ind w:left="567"/>
        <w:rPr>
          <w:sz w:val="24"/>
          <w:szCs w:val="24"/>
          <w:shd w:val="clear" w:color="auto" w:fill="FFFFFF"/>
        </w:rPr>
      </w:pPr>
      <w:r w:rsidRPr="00982C00">
        <w:rPr>
          <w:sz w:val="24"/>
          <w:szCs w:val="24"/>
          <w:shd w:val="clear" w:color="auto" w:fill="FFFFFF"/>
        </w:rPr>
        <w:t xml:space="preserve">Interestingly, no appeals have been made against decisions of the Tasmanian Heritage Council this </w:t>
      </w:r>
      <w:r w:rsidR="006A3EED" w:rsidRPr="00982C00">
        <w:rPr>
          <w:sz w:val="24"/>
          <w:szCs w:val="24"/>
          <w:shd w:val="clear" w:color="auto" w:fill="FFFFFF"/>
        </w:rPr>
        <w:t xml:space="preserve">reporting </w:t>
      </w:r>
      <w:r w:rsidRPr="00982C00">
        <w:rPr>
          <w:sz w:val="24"/>
          <w:szCs w:val="24"/>
          <w:shd w:val="clear" w:color="auto" w:fill="FFFFFF"/>
        </w:rPr>
        <w:t xml:space="preserve">year. </w:t>
      </w:r>
      <w:r w:rsidR="006A3EED" w:rsidRPr="00982C00">
        <w:rPr>
          <w:sz w:val="24"/>
          <w:szCs w:val="24"/>
          <w:shd w:val="clear" w:color="auto" w:fill="FFFFFF"/>
        </w:rPr>
        <w:t>Under the current regime, if</w:t>
      </w:r>
      <w:r w:rsidRPr="00982C00">
        <w:rPr>
          <w:sz w:val="24"/>
          <w:szCs w:val="24"/>
          <w:shd w:val="clear" w:color="auto" w:fill="FFFFFF"/>
        </w:rPr>
        <w:t xml:space="preserve"> the Tasmanian Heritage Council opposes a development on the basis of a provision within the </w:t>
      </w:r>
      <w:r w:rsidRPr="00982C00">
        <w:rPr>
          <w:i/>
          <w:sz w:val="24"/>
          <w:szCs w:val="24"/>
          <w:shd w:val="clear" w:color="auto" w:fill="FFFFFF"/>
        </w:rPr>
        <w:t xml:space="preserve">Historic Cultural Heritage Act 1995 </w:t>
      </w:r>
      <w:r w:rsidRPr="00982C00">
        <w:rPr>
          <w:sz w:val="24"/>
          <w:szCs w:val="24"/>
          <w:shd w:val="clear" w:color="auto" w:fill="FFFFFF"/>
        </w:rPr>
        <w:t>then</w:t>
      </w:r>
      <w:r w:rsidR="002626EC" w:rsidRPr="00982C00">
        <w:rPr>
          <w:sz w:val="24"/>
          <w:szCs w:val="24"/>
          <w:shd w:val="clear" w:color="auto" w:fill="FFFFFF"/>
        </w:rPr>
        <w:t xml:space="preserve"> the</w:t>
      </w:r>
      <w:r w:rsidRPr="00982C00">
        <w:rPr>
          <w:sz w:val="24"/>
          <w:szCs w:val="24"/>
          <w:shd w:val="clear" w:color="auto" w:fill="FFFFFF"/>
        </w:rPr>
        <w:t xml:space="preserve"> council</w:t>
      </w:r>
      <w:r w:rsidR="002626EC" w:rsidRPr="00982C00">
        <w:rPr>
          <w:sz w:val="24"/>
          <w:szCs w:val="24"/>
          <w:shd w:val="clear" w:color="auto" w:fill="FFFFFF"/>
        </w:rPr>
        <w:t xml:space="preserve"> considering that application,</w:t>
      </w:r>
      <w:r w:rsidRPr="00982C00">
        <w:rPr>
          <w:sz w:val="24"/>
          <w:szCs w:val="24"/>
          <w:shd w:val="clear" w:color="auto" w:fill="FFFFFF"/>
        </w:rPr>
        <w:t xml:space="preserve"> is obliged to accept that determination and must refuse </w:t>
      </w:r>
      <w:r w:rsidR="002626EC" w:rsidRPr="00982C00">
        <w:rPr>
          <w:sz w:val="24"/>
          <w:szCs w:val="24"/>
          <w:shd w:val="clear" w:color="auto" w:fill="FFFFFF"/>
        </w:rPr>
        <w:t>it</w:t>
      </w:r>
      <w:r w:rsidRPr="00982C00">
        <w:rPr>
          <w:sz w:val="24"/>
          <w:szCs w:val="24"/>
          <w:shd w:val="clear" w:color="auto" w:fill="FFFFFF"/>
        </w:rPr>
        <w:t>. If, however, the Tasmanian Heritage Council is content to approve</w:t>
      </w:r>
      <w:r w:rsidR="002626EC" w:rsidRPr="00982C00">
        <w:rPr>
          <w:sz w:val="24"/>
          <w:szCs w:val="24"/>
          <w:shd w:val="clear" w:color="auto" w:fill="FFFFFF"/>
        </w:rPr>
        <w:t xml:space="preserve"> a development</w:t>
      </w:r>
      <w:r w:rsidRPr="00982C00">
        <w:rPr>
          <w:sz w:val="24"/>
          <w:szCs w:val="24"/>
          <w:shd w:val="clear" w:color="auto" w:fill="FFFFFF"/>
        </w:rPr>
        <w:t xml:space="preserve">, or approve </w:t>
      </w:r>
      <w:r w:rsidR="002626EC" w:rsidRPr="00982C00">
        <w:rPr>
          <w:sz w:val="24"/>
          <w:szCs w:val="24"/>
          <w:shd w:val="clear" w:color="auto" w:fill="FFFFFF"/>
        </w:rPr>
        <w:t xml:space="preserve">it </w:t>
      </w:r>
      <w:r w:rsidRPr="00982C00">
        <w:rPr>
          <w:sz w:val="24"/>
          <w:szCs w:val="24"/>
          <w:shd w:val="clear" w:color="auto" w:fill="FFFFFF"/>
        </w:rPr>
        <w:t>on condition, th</w:t>
      </w:r>
      <w:r w:rsidR="002626EC" w:rsidRPr="00982C00">
        <w:rPr>
          <w:sz w:val="24"/>
          <w:szCs w:val="24"/>
          <w:shd w:val="clear" w:color="auto" w:fill="FFFFFF"/>
        </w:rPr>
        <w:t xml:space="preserve">en council retains a </w:t>
      </w:r>
      <w:r w:rsidR="002626EC" w:rsidRPr="00982C00">
        <w:rPr>
          <w:sz w:val="24"/>
          <w:szCs w:val="24"/>
          <w:shd w:val="clear" w:color="auto" w:fill="FFFFFF"/>
        </w:rPr>
        <w:lastRenderedPageBreak/>
        <w:t>discretion. W</w:t>
      </w:r>
      <w:r w:rsidRPr="00982C00">
        <w:rPr>
          <w:sz w:val="24"/>
          <w:szCs w:val="24"/>
          <w:shd w:val="clear" w:color="auto" w:fill="FFFFFF"/>
        </w:rPr>
        <w:t>here its planning scheme imposes standards upon development in areas the subject of heritage overlays</w:t>
      </w:r>
      <w:r w:rsidR="0017363C" w:rsidRPr="00982C00">
        <w:rPr>
          <w:sz w:val="24"/>
          <w:szCs w:val="24"/>
          <w:shd w:val="clear" w:color="auto" w:fill="FFFFFF"/>
        </w:rPr>
        <w:t>, it may reach a different conclusion from the Heritage Council</w:t>
      </w:r>
      <w:r w:rsidRPr="00982C00">
        <w:rPr>
          <w:sz w:val="24"/>
          <w:szCs w:val="24"/>
          <w:shd w:val="clear" w:color="auto" w:fill="FFFFFF"/>
        </w:rPr>
        <w:t xml:space="preserve">. There have been a number of appeals </w:t>
      </w:r>
      <w:r w:rsidR="0017363C" w:rsidRPr="00982C00">
        <w:rPr>
          <w:sz w:val="24"/>
          <w:szCs w:val="24"/>
          <w:shd w:val="clear" w:color="auto" w:fill="FFFFFF"/>
        </w:rPr>
        <w:t xml:space="preserve">this year </w:t>
      </w:r>
      <w:r w:rsidRPr="00982C00">
        <w:rPr>
          <w:sz w:val="24"/>
          <w:szCs w:val="24"/>
          <w:shd w:val="clear" w:color="auto" w:fill="FFFFFF"/>
        </w:rPr>
        <w:t>which have related to council decisions which have applied the heritage provisions of planning schemes. In at least two instances, decisions of the Tasmanian Heritage Council have been favourable to development applications, but councils’ heritage officers have identified concerns which have resulted in a refusal, which has been upheld on appeal.</w:t>
      </w:r>
    </w:p>
    <w:p w14:paraId="5F35EAA9" w14:textId="77777777" w:rsidR="0006099B" w:rsidRPr="00982C00" w:rsidRDefault="0017363C" w:rsidP="0018383A">
      <w:pPr>
        <w:ind w:left="567"/>
        <w:rPr>
          <w:sz w:val="24"/>
          <w:szCs w:val="24"/>
          <w:shd w:val="clear" w:color="auto" w:fill="FFFFFF"/>
        </w:rPr>
      </w:pPr>
      <w:r w:rsidRPr="00982C00">
        <w:rPr>
          <w:sz w:val="24"/>
          <w:szCs w:val="24"/>
          <w:shd w:val="clear" w:color="auto" w:fill="FFFFFF"/>
        </w:rPr>
        <w:t xml:space="preserve">Another area of “growth” has been in </w:t>
      </w:r>
      <w:r w:rsidR="0006099B" w:rsidRPr="00982C00">
        <w:rPr>
          <w:sz w:val="24"/>
          <w:szCs w:val="24"/>
          <w:shd w:val="clear" w:color="auto" w:fill="FFFFFF"/>
        </w:rPr>
        <w:t xml:space="preserve">the number of appeals from the Recorder of Titles. </w:t>
      </w:r>
      <w:r w:rsidR="00FE52B9" w:rsidRPr="00982C00">
        <w:rPr>
          <w:sz w:val="24"/>
          <w:szCs w:val="24"/>
          <w:shd w:val="clear" w:color="auto" w:fill="FFFFFF"/>
        </w:rPr>
        <w:t xml:space="preserve">Indeed, the reporting year has seen an increase in excess of 100% in this category of appeals. </w:t>
      </w:r>
      <w:r w:rsidR="0006099B" w:rsidRPr="00982C00">
        <w:rPr>
          <w:sz w:val="24"/>
          <w:szCs w:val="24"/>
          <w:shd w:val="clear" w:color="auto" w:fill="FFFFFF"/>
        </w:rPr>
        <w:t>The vast majority of these appeals relate to disputes within bodies corporate</w:t>
      </w:r>
      <w:r w:rsidR="00CD61CD" w:rsidRPr="00982C00">
        <w:rPr>
          <w:sz w:val="24"/>
          <w:szCs w:val="24"/>
          <w:shd w:val="clear" w:color="auto" w:fill="FFFFFF"/>
        </w:rPr>
        <w:t>, operating strata title schemes</w:t>
      </w:r>
      <w:r w:rsidR="000C512A" w:rsidRPr="00982C00">
        <w:rPr>
          <w:sz w:val="24"/>
          <w:szCs w:val="24"/>
          <w:shd w:val="clear" w:color="auto" w:fill="FFFFFF"/>
        </w:rPr>
        <w:t xml:space="preserve">.  The reason for the increase is not readily apparent, and the nature of the disputes does not </w:t>
      </w:r>
      <w:r w:rsidR="003F5E5E" w:rsidRPr="00982C00">
        <w:rPr>
          <w:sz w:val="24"/>
          <w:szCs w:val="24"/>
          <w:shd w:val="clear" w:color="auto" w:fill="FFFFFF"/>
        </w:rPr>
        <w:t xml:space="preserve">expose a plausible thesis for the increased activity in this jurisdiction. </w:t>
      </w:r>
    </w:p>
    <w:p w14:paraId="32784138" w14:textId="56A0DA5E" w:rsidR="0006099B" w:rsidRPr="00982C00" w:rsidRDefault="00F70238" w:rsidP="0006099B">
      <w:pPr>
        <w:ind w:left="567"/>
        <w:rPr>
          <w:sz w:val="24"/>
          <w:szCs w:val="24"/>
          <w:shd w:val="clear" w:color="auto" w:fill="FFFFFF"/>
        </w:rPr>
      </w:pPr>
      <w:r w:rsidRPr="00982C00">
        <w:rPr>
          <w:sz w:val="24"/>
          <w:szCs w:val="24"/>
          <w:shd w:val="clear" w:color="auto" w:fill="FFFFFF"/>
        </w:rPr>
        <w:t>I acknowledge the contribution of Tribunal staff. Mrs Susan Vernon assists the Tribu</w:t>
      </w:r>
      <w:r w:rsidR="002B579C" w:rsidRPr="00982C00">
        <w:rPr>
          <w:sz w:val="24"/>
          <w:szCs w:val="24"/>
          <w:shd w:val="clear" w:color="auto" w:fill="FFFFFF"/>
        </w:rPr>
        <w:t>nal at reception and in hearing</w:t>
      </w:r>
      <w:r w:rsidR="00862515" w:rsidRPr="00982C00">
        <w:rPr>
          <w:sz w:val="24"/>
          <w:szCs w:val="24"/>
          <w:shd w:val="clear" w:color="auto" w:fill="FFFFFF"/>
        </w:rPr>
        <w:t>s</w:t>
      </w:r>
      <w:r w:rsidR="002B579C" w:rsidRPr="00982C00">
        <w:rPr>
          <w:sz w:val="24"/>
          <w:szCs w:val="24"/>
          <w:shd w:val="clear" w:color="auto" w:fill="FFFFFF"/>
        </w:rPr>
        <w:t>. S</w:t>
      </w:r>
      <w:r w:rsidRPr="00982C00">
        <w:rPr>
          <w:sz w:val="24"/>
          <w:szCs w:val="24"/>
          <w:shd w:val="clear" w:color="auto" w:fill="FFFFFF"/>
        </w:rPr>
        <w:t xml:space="preserve">he is assisted by </w:t>
      </w:r>
      <w:r w:rsidR="00B71BA0">
        <w:rPr>
          <w:sz w:val="24"/>
          <w:szCs w:val="24"/>
          <w:shd w:val="clear" w:color="auto" w:fill="FFFFFF"/>
        </w:rPr>
        <w:t xml:space="preserve">Ms </w:t>
      </w:r>
      <w:r w:rsidRPr="00982C00">
        <w:rPr>
          <w:sz w:val="24"/>
          <w:szCs w:val="24"/>
          <w:shd w:val="clear" w:color="auto" w:fill="FFFFFF"/>
        </w:rPr>
        <w:t xml:space="preserve">Danielle Cingel and </w:t>
      </w:r>
      <w:r w:rsidR="00B71BA0">
        <w:rPr>
          <w:sz w:val="24"/>
          <w:szCs w:val="24"/>
          <w:shd w:val="clear" w:color="auto" w:fill="FFFFFF"/>
        </w:rPr>
        <w:t xml:space="preserve">Mrs </w:t>
      </w:r>
      <w:r w:rsidRPr="00982C00">
        <w:rPr>
          <w:sz w:val="24"/>
          <w:szCs w:val="24"/>
          <w:shd w:val="clear" w:color="auto" w:fill="FFFFFF"/>
        </w:rPr>
        <w:t>Carmen Dittmann. Mr Stephen Main is responsible for the Tribunal’s financial records and reporting. Mrs Hilary Harris provides executi</w:t>
      </w:r>
      <w:r w:rsidR="006B4D04" w:rsidRPr="00982C00">
        <w:rPr>
          <w:sz w:val="24"/>
          <w:szCs w:val="24"/>
          <w:shd w:val="clear" w:color="auto" w:fill="FFFFFF"/>
        </w:rPr>
        <w:t>ve support to the Registrar. Mr Mackey and Ms Bridge,</w:t>
      </w:r>
      <w:r w:rsidRPr="00982C00">
        <w:rPr>
          <w:sz w:val="24"/>
          <w:szCs w:val="24"/>
          <w:shd w:val="clear" w:color="auto" w:fill="FFFFFF"/>
        </w:rPr>
        <w:t xml:space="preserve"> </w:t>
      </w:r>
      <w:r w:rsidR="00E572B4" w:rsidRPr="00982C00">
        <w:rPr>
          <w:sz w:val="24"/>
          <w:szCs w:val="24"/>
          <w:shd w:val="clear" w:color="auto" w:fill="FFFFFF"/>
        </w:rPr>
        <w:t>manage</w:t>
      </w:r>
      <w:r w:rsidRPr="00982C00">
        <w:rPr>
          <w:sz w:val="24"/>
          <w:szCs w:val="24"/>
          <w:shd w:val="clear" w:color="auto" w:fill="FFFFFF"/>
        </w:rPr>
        <w:t xml:space="preserve"> appeals, directions hearings and ADR, and also provide support to me. Ms Bridge has acted as Registrar during the reporting year to enable Mr Bryan to continue his participation </w:t>
      </w:r>
      <w:r w:rsidR="0041058F" w:rsidRPr="00982C00">
        <w:rPr>
          <w:sz w:val="24"/>
          <w:szCs w:val="24"/>
          <w:shd w:val="clear" w:color="auto" w:fill="FFFFFF"/>
        </w:rPr>
        <w:t xml:space="preserve">in the single </w:t>
      </w:r>
      <w:r w:rsidR="00E572B4" w:rsidRPr="00982C00">
        <w:rPr>
          <w:sz w:val="24"/>
          <w:szCs w:val="24"/>
          <w:shd w:val="clear" w:color="auto" w:fill="FFFFFF"/>
        </w:rPr>
        <w:t>tribunal</w:t>
      </w:r>
      <w:r w:rsidR="0041058F" w:rsidRPr="00982C00">
        <w:rPr>
          <w:sz w:val="24"/>
          <w:szCs w:val="24"/>
          <w:shd w:val="clear" w:color="auto" w:fill="FFFFFF"/>
        </w:rPr>
        <w:t xml:space="preserve"> project.   Each year I have acknowledged the considerable efforts of my executive assistant, Ms Angela Korotki, and I do so again this year. She undertakes th</w:t>
      </w:r>
      <w:r w:rsidR="006B4D04" w:rsidRPr="00982C00">
        <w:rPr>
          <w:sz w:val="24"/>
          <w:szCs w:val="24"/>
          <w:shd w:val="clear" w:color="auto" w:fill="FFFFFF"/>
        </w:rPr>
        <w:t>e considerable task of typing</w:t>
      </w:r>
      <w:r w:rsidR="0041058F" w:rsidRPr="00982C00">
        <w:rPr>
          <w:sz w:val="24"/>
          <w:szCs w:val="24"/>
          <w:shd w:val="clear" w:color="auto" w:fill="FFFFFF"/>
        </w:rPr>
        <w:t xml:space="preserve"> decisions, </w:t>
      </w:r>
      <w:r w:rsidR="00E572B4" w:rsidRPr="00982C00">
        <w:rPr>
          <w:sz w:val="24"/>
          <w:szCs w:val="24"/>
          <w:shd w:val="clear" w:color="auto" w:fill="FFFFFF"/>
        </w:rPr>
        <w:t>managing</w:t>
      </w:r>
      <w:r w:rsidR="0041058F" w:rsidRPr="00982C00">
        <w:rPr>
          <w:sz w:val="24"/>
          <w:szCs w:val="24"/>
          <w:shd w:val="clear" w:color="auto" w:fill="FFFFFF"/>
        </w:rPr>
        <w:t xml:space="preserve"> my work and undertaking file management</w:t>
      </w:r>
      <w:r w:rsidR="002B579C" w:rsidRPr="00982C00">
        <w:rPr>
          <w:sz w:val="24"/>
          <w:szCs w:val="24"/>
          <w:shd w:val="clear" w:color="auto" w:fill="FFFFFF"/>
        </w:rPr>
        <w:t xml:space="preserve"> and does so </w:t>
      </w:r>
      <w:r w:rsidR="00FF56DD" w:rsidRPr="00982C00">
        <w:rPr>
          <w:sz w:val="24"/>
          <w:szCs w:val="24"/>
          <w:shd w:val="clear" w:color="auto" w:fill="FFFFFF"/>
        </w:rPr>
        <w:t>efficiently</w:t>
      </w:r>
      <w:r w:rsidR="0041058F" w:rsidRPr="00982C00">
        <w:rPr>
          <w:sz w:val="24"/>
          <w:szCs w:val="24"/>
          <w:shd w:val="clear" w:color="auto" w:fill="FFFFFF"/>
        </w:rPr>
        <w:t xml:space="preserve">. It would be </w:t>
      </w:r>
      <w:r w:rsidR="00E572B4" w:rsidRPr="00982C00">
        <w:rPr>
          <w:sz w:val="24"/>
          <w:szCs w:val="24"/>
          <w:shd w:val="clear" w:color="auto" w:fill="FFFFFF"/>
        </w:rPr>
        <w:t>impossible</w:t>
      </w:r>
      <w:r w:rsidR="0041058F" w:rsidRPr="00982C00">
        <w:rPr>
          <w:sz w:val="24"/>
          <w:szCs w:val="24"/>
          <w:shd w:val="clear" w:color="auto" w:fill="FFFFFF"/>
        </w:rPr>
        <w:t xml:space="preserve"> for me to fulfil my duties without her assistance.</w:t>
      </w:r>
    </w:p>
    <w:p w14:paraId="4A6AC36E" w14:textId="77777777" w:rsidR="0032189B" w:rsidRPr="00982C00" w:rsidRDefault="00FC06DC" w:rsidP="0006099B">
      <w:pPr>
        <w:ind w:left="567"/>
        <w:rPr>
          <w:sz w:val="24"/>
          <w:szCs w:val="24"/>
          <w:shd w:val="clear" w:color="auto" w:fill="FFFFFF"/>
        </w:rPr>
      </w:pPr>
      <w:r w:rsidRPr="00982C00">
        <w:rPr>
          <w:sz w:val="24"/>
          <w:szCs w:val="24"/>
          <w:shd w:val="clear" w:color="auto" w:fill="FFFFFF"/>
        </w:rPr>
        <w:t>Recently</w:t>
      </w:r>
      <w:r w:rsidR="0041058F" w:rsidRPr="00982C00">
        <w:rPr>
          <w:sz w:val="24"/>
          <w:szCs w:val="24"/>
          <w:shd w:val="clear" w:color="auto" w:fill="FFFFFF"/>
        </w:rPr>
        <w:t xml:space="preserve"> I have </w:t>
      </w:r>
      <w:r w:rsidRPr="00982C00">
        <w:rPr>
          <w:sz w:val="24"/>
          <w:szCs w:val="24"/>
          <w:shd w:val="clear" w:color="auto" w:fill="FFFFFF"/>
        </w:rPr>
        <w:t xml:space="preserve">been assisted by </w:t>
      </w:r>
      <w:r w:rsidR="0041058F" w:rsidRPr="00982C00">
        <w:rPr>
          <w:sz w:val="24"/>
          <w:szCs w:val="24"/>
          <w:shd w:val="clear" w:color="auto" w:fill="FFFFFF"/>
        </w:rPr>
        <w:t xml:space="preserve">the engagement of a graduate associate. Ms Emma Livingston has </w:t>
      </w:r>
      <w:r w:rsidR="0032189B" w:rsidRPr="00982C00">
        <w:rPr>
          <w:sz w:val="24"/>
          <w:szCs w:val="24"/>
          <w:shd w:val="clear" w:color="auto" w:fill="FFFFFF"/>
        </w:rPr>
        <w:t xml:space="preserve">joined the Tribunal </w:t>
      </w:r>
      <w:r w:rsidR="00FF56DD" w:rsidRPr="00982C00">
        <w:rPr>
          <w:sz w:val="24"/>
          <w:szCs w:val="24"/>
          <w:shd w:val="clear" w:color="auto" w:fill="FFFFFF"/>
        </w:rPr>
        <w:t>in August and I have been</w:t>
      </w:r>
      <w:r w:rsidR="0032189B" w:rsidRPr="00982C00">
        <w:rPr>
          <w:sz w:val="24"/>
          <w:szCs w:val="24"/>
          <w:shd w:val="clear" w:color="auto" w:fill="FFFFFF"/>
        </w:rPr>
        <w:t xml:space="preserve"> </w:t>
      </w:r>
      <w:r w:rsidR="00832B5D" w:rsidRPr="00982C00">
        <w:rPr>
          <w:sz w:val="24"/>
          <w:szCs w:val="24"/>
          <w:shd w:val="clear" w:color="auto" w:fill="FFFFFF"/>
        </w:rPr>
        <w:t>greatly supported</w:t>
      </w:r>
      <w:r w:rsidR="0032189B" w:rsidRPr="00982C00">
        <w:rPr>
          <w:sz w:val="24"/>
          <w:szCs w:val="24"/>
          <w:shd w:val="clear" w:color="auto" w:fill="FFFFFF"/>
        </w:rPr>
        <w:t xml:space="preserve"> by her contribution in the undertaking of research and the review of draft materials.</w:t>
      </w:r>
      <w:r w:rsidR="00FC3451" w:rsidRPr="00982C00">
        <w:rPr>
          <w:sz w:val="24"/>
          <w:szCs w:val="24"/>
          <w:shd w:val="clear" w:color="auto" w:fill="FFFFFF"/>
        </w:rPr>
        <w:t xml:space="preserve"> I am delighted the Tribunal has been able to fund this position and provide a graduate of our University with an opportunity to gain practical legal experience. </w:t>
      </w:r>
    </w:p>
    <w:p w14:paraId="7CD834BD" w14:textId="690712EC" w:rsidR="00231E6B" w:rsidRPr="00982C00" w:rsidRDefault="00231E6B" w:rsidP="0006099B">
      <w:pPr>
        <w:ind w:left="567"/>
        <w:rPr>
          <w:sz w:val="24"/>
          <w:szCs w:val="24"/>
          <w:shd w:val="clear" w:color="auto" w:fill="FFFFFF"/>
        </w:rPr>
      </w:pPr>
      <w:r w:rsidRPr="00982C00">
        <w:rPr>
          <w:sz w:val="24"/>
          <w:szCs w:val="24"/>
          <w:shd w:val="clear" w:color="auto" w:fill="FFFFFF"/>
        </w:rPr>
        <w:t>Finally</w:t>
      </w:r>
      <w:r w:rsidR="003407DF" w:rsidRPr="00982C00">
        <w:rPr>
          <w:sz w:val="24"/>
          <w:szCs w:val="24"/>
          <w:shd w:val="clear" w:color="auto" w:fill="FFFFFF"/>
        </w:rPr>
        <w:t>,</w:t>
      </w:r>
      <w:r w:rsidRPr="00982C00">
        <w:rPr>
          <w:sz w:val="24"/>
          <w:szCs w:val="24"/>
          <w:shd w:val="clear" w:color="auto" w:fill="FFFFFF"/>
        </w:rPr>
        <w:t xml:space="preserve"> </w:t>
      </w:r>
      <w:r w:rsidR="00E2541B" w:rsidRPr="00982C00">
        <w:rPr>
          <w:sz w:val="24"/>
          <w:szCs w:val="24"/>
          <w:shd w:val="clear" w:color="auto" w:fill="FFFFFF"/>
        </w:rPr>
        <w:t xml:space="preserve">I acknowledge all the Tribunal </w:t>
      </w:r>
      <w:r w:rsidRPr="00982C00">
        <w:rPr>
          <w:sz w:val="24"/>
          <w:szCs w:val="24"/>
          <w:shd w:val="clear" w:color="auto" w:fill="FFFFFF"/>
        </w:rPr>
        <w:t xml:space="preserve">members who have agreed to make themselves available to sit on appeals. </w:t>
      </w:r>
      <w:r w:rsidR="00E2541B" w:rsidRPr="00982C00">
        <w:rPr>
          <w:sz w:val="24"/>
          <w:szCs w:val="24"/>
          <w:shd w:val="clear" w:color="auto" w:fill="FFFFFF"/>
        </w:rPr>
        <w:t xml:space="preserve">The Resource Management &amp; Planning Appeal Tribunal Act stipulates a requirement for particular skills to be available to the Tribunal. </w:t>
      </w:r>
      <w:r w:rsidRPr="00982C00">
        <w:rPr>
          <w:sz w:val="24"/>
          <w:szCs w:val="24"/>
          <w:shd w:val="clear" w:color="auto" w:fill="FFFFFF"/>
        </w:rPr>
        <w:t>The organisation of pa</w:t>
      </w:r>
      <w:r w:rsidR="00832B5D" w:rsidRPr="00982C00">
        <w:rPr>
          <w:sz w:val="24"/>
          <w:szCs w:val="24"/>
          <w:shd w:val="clear" w:color="auto" w:fill="FFFFFF"/>
        </w:rPr>
        <w:t>nels for appeals is determined o</w:t>
      </w:r>
      <w:r w:rsidRPr="00982C00">
        <w:rPr>
          <w:sz w:val="24"/>
          <w:szCs w:val="24"/>
          <w:shd w:val="clear" w:color="auto" w:fill="FFFFFF"/>
        </w:rPr>
        <w:t>n the basis of the issues raised in the appeal: engineering, flora and fauna, landslip,</w:t>
      </w:r>
      <w:r w:rsidR="00832B5D" w:rsidRPr="00982C00">
        <w:rPr>
          <w:sz w:val="24"/>
          <w:szCs w:val="24"/>
          <w:shd w:val="clear" w:color="auto" w:fill="FFFFFF"/>
        </w:rPr>
        <w:t xml:space="preserve"> heritage</w:t>
      </w:r>
      <w:r w:rsidRPr="00982C00">
        <w:rPr>
          <w:sz w:val="24"/>
          <w:szCs w:val="24"/>
          <w:shd w:val="clear" w:color="auto" w:fill="FFFFFF"/>
        </w:rPr>
        <w:t xml:space="preserve"> </w:t>
      </w:r>
      <w:r w:rsidR="00E2541B" w:rsidRPr="00982C00">
        <w:rPr>
          <w:sz w:val="24"/>
          <w:szCs w:val="24"/>
          <w:shd w:val="clear" w:color="auto" w:fill="FFFFFF"/>
        </w:rPr>
        <w:t xml:space="preserve">and so on. </w:t>
      </w:r>
      <w:r w:rsidR="00231FF9" w:rsidRPr="00982C00">
        <w:rPr>
          <w:sz w:val="24"/>
          <w:szCs w:val="24"/>
          <w:shd w:val="clear" w:color="auto" w:fill="FFFFFF"/>
        </w:rPr>
        <w:t>Members’ contributions ensure the Tribunal system can work effectively to provide a procedure for the review of decisions</w:t>
      </w:r>
      <w:r w:rsidR="00922676" w:rsidRPr="00982C00">
        <w:rPr>
          <w:sz w:val="24"/>
          <w:szCs w:val="24"/>
          <w:shd w:val="clear" w:color="auto" w:fill="FFFFFF"/>
        </w:rPr>
        <w:t xml:space="preserve"> and the value they bring cannot be overstated. I acknowledge it. </w:t>
      </w:r>
      <w:r w:rsidR="00CD71FB" w:rsidRPr="00982C00">
        <w:rPr>
          <w:sz w:val="24"/>
          <w:szCs w:val="24"/>
          <w:shd w:val="clear" w:color="auto" w:fill="FFFFFF"/>
        </w:rPr>
        <w:t xml:space="preserve">I would </w:t>
      </w:r>
      <w:r w:rsidR="00E02014" w:rsidRPr="00982C00">
        <w:rPr>
          <w:sz w:val="24"/>
          <w:szCs w:val="24"/>
          <w:shd w:val="clear" w:color="auto" w:fill="FFFFFF"/>
        </w:rPr>
        <w:t xml:space="preserve">also like to acknowledge </w:t>
      </w:r>
      <w:r w:rsidR="003407DF" w:rsidRPr="00982C00">
        <w:rPr>
          <w:sz w:val="24"/>
          <w:szCs w:val="24"/>
          <w:shd w:val="clear" w:color="auto" w:fill="FFFFFF"/>
        </w:rPr>
        <w:t xml:space="preserve">the contribution of </w:t>
      </w:r>
      <w:r w:rsidR="00CD71FB" w:rsidRPr="00982C00">
        <w:rPr>
          <w:sz w:val="24"/>
          <w:szCs w:val="24"/>
          <w:shd w:val="clear" w:color="auto" w:fill="FFFFFF"/>
        </w:rPr>
        <w:t xml:space="preserve">Ann Cunningham. </w:t>
      </w:r>
      <w:r w:rsidR="00B71BA0">
        <w:rPr>
          <w:sz w:val="24"/>
          <w:szCs w:val="24"/>
          <w:shd w:val="clear" w:color="auto" w:fill="FFFFFF"/>
        </w:rPr>
        <w:t>Ms Cunningham</w:t>
      </w:r>
      <w:r w:rsidR="00CD71FB" w:rsidRPr="00982C00">
        <w:rPr>
          <w:sz w:val="24"/>
          <w:szCs w:val="24"/>
          <w:shd w:val="clear" w:color="auto" w:fill="FFFFFF"/>
        </w:rPr>
        <w:t xml:space="preserve"> is a legal member of the Tribunal and has chosen not to continue in that role beyond 2017. </w:t>
      </w:r>
      <w:r w:rsidR="00B71BA0">
        <w:rPr>
          <w:sz w:val="24"/>
          <w:szCs w:val="24"/>
          <w:shd w:val="clear" w:color="auto" w:fill="FFFFFF"/>
        </w:rPr>
        <w:t>Ms Cunningham’s</w:t>
      </w:r>
      <w:r w:rsidR="00CD71FB" w:rsidRPr="00982C00">
        <w:rPr>
          <w:sz w:val="24"/>
          <w:szCs w:val="24"/>
          <w:shd w:val="clear" w:color="auto" w:fill="FFFFFF"/>
        </w:rPr>
        <w:t xml:space="preserve"> contribution is appreciated and </w:t>
      </w:r>
      <w:r w:rsidR="00CD71FB" w:rsidRPr="00982C00">
        <w:rPr>
          <w:sz w:val="24"/>
          <w:szCs w:val="24"/>
          <w:shd w:val="clear" w:color="auto" w:fill="FFFFFF"/>
        </w:rPr>
        <w:lastRenderedPageBreak/>
        <w:t xml:space="preserve">the </w:t>
      </w:r>
      <w:r w:rsidR="004636FB" w:rsidRPr="00982C00">
        <w:rPr>
          <w:sz w:val="24"/>
          <w:szCs w:val="24"/>
          <w:shd w:val="clear" w:color="auto" w:fill="FFFFFF"/>
        </w:rPr>
        <w:t>Tribunal could not have functioned as efficiently or effectively as it has without her. She will be missed.</w:t>
      </w:r>
      <w:r w:rsidR="00D8612D" w:rsidRPr="00982C00">
        <w:rPr>
          <w:sz w:val="24"/>
          <w:szCs w:val="24"/>
          <w:shd w:val="clear" w:color="auto" w:fill="FFFFFF"/>
        </w:rPr>
        <w:t xml:space="preserve"> I thank her for her service.</w:t>
      </w:r>
      <w:r w:rsidR="004636FB" w:rsidRPr="00982C00">
        <w:rPr>
          <w:sz w:val="24"/>
          <w:szCs w:val="24"/>
          <w:shd w:val="clear" w:color="auto" w:fill="FFFFFF"/>
        </w:rPr>
        <w:t xml:space="preserve"> </w:t>
      </w:r>
    </w:p>
    <w:p w14:paraId="0D6C3870" w14:textId="77777777" w:rsidR="00E572B4" w:rsidRDefault="00E572B4" w:rsidP="0006099B">
      <w:pPr>
        <w:ind w:left="567"/>
        <w:rPr>
          <w:shd w:val="clear" w:color="auto" w:fill="FFFFFF"/>
        </w:rPr>
      </w:pPr>
    </w:p>
    <w:p w14:paraId="0BBDEB3F" w14:textId="77777777" w:rsidR="00D048A5" w:rsidRDefault="00D048A5" w:rsidP="00D048A5">
      <w:pPr>
        <w:pStyle w:val="Caption"/>
      </w:pPr>
      <w:bookmarkStart w:id="3" w:name="_Toc455398265"/>
      <w:bookmarkStart w:id="4" w:name="_Toc455398475"/>
      <w:bookmarkStart w:id="5" w:name="_Toc455398532"/>
    </w:p>
    <w:p w14:paraId="0FF6791A" w14:textId="77777777" w:rsidR="00135A99" w:rsidRPr="00135A99" w:rsidRDefault="00135A99" w:rsidP="00135A99">
      <w:pPr>
        <w:sectPr w:rsidR="00135A99" w:rsidRPr="00135A99" w:rsidSect="00D67501">
          <w:pgSz w:w="11906" w:h="16838"/>
          <w:pgMar w:top="1440" w:right="1440" w:bottom="1440" w:left="1440" w:header="708" w:footer="708" w:gutter="0"/>
          <w:cols w:space="708"/>
          <w:docGrid w:linePitch="360"/>
        </w:sectPr>
      </w:pPr>
    </w:p>
    <w:p w14:paraId="7D908A2C" w14:textId="77777777" w:rsidR="004925C8" w:rsidRPr="00135A99" w:rsidRDefault="00135A99" w:rsidP="00C37155">
      <w:pPr>
        <w:pStyle w:val="Heading1"/>
        <w:spacing w:after="240"/>
        <w:ind w:left="567" w:hanging="567"/>
        <w:rPr>
          <w:rFonts w:ascii="Gill Sans MT" w:hAnsi="Gill Sans MT"/>
          <w:sz w:val="32"/>
          <w:shd w:val="clear" w:color="auto" w:fill="FFFFFF"/>
        </w:rPr>
      </w:pPr>
      <w:bookmarkStart w:id="6" w:name="_Toc495485023"/>
      <w:bookmarkEnd w:id="3"/>
      <w:bookmarkEnd w:id="4"/>
      <w:bookmarkEnd w:id="5"/>
      <w:r w:rsidRPr="00135A99">
        <w:rPr>
          <w:rFonts w:ascii="Gill Sans MT" w:hAnsi="Gill Sans MT"/>
          <w:sz w:val="32"/>
          <w:shd w:val="clear" w:color="auto" w:fill="FFFFFF"/>
        </w:rPr>
        <w:lastRenderedPageBreak/>
        <w:t>Tribunal’s legislative context</w:t>
      </w:r>
      <w:bookmarkEnd w:id="6"/>
    </w:p>
    <w:p w14:paraId="2D11AEE0" w14:textId="77777777" w:rsidR="00135A99" w:rsidRPr="00C36CF6" w:rsidRDefault="00135A99" w:rsidP="00135A99">
      <w:pPr>
        <w:spacing w:before="120" w:line="240" w:lineRule="auto"/>
        <w:ind w:left="567"/>
        <w:jc w:val="both"/>
        <w:rPr>
          <w:rFonts w:eastAsia="Times New Roman" w:cs="Arial"/>
          <w:sz w:val="24"/>
          <w:szCs w:val="24"/>
          <w:lang w:eastAsia="en-AU"/>
        </w:rPr>
      </w:pPr>
      <w:bookmarkStart w:id="7" w:name="_Toc456622476"/>
      <w:bookmarkStart w:id="8" w:name="_Toc456622693"/>
      <w:r w:rsidRPr="00C36CF6">
        <w:rPr>
          <w:rFonts w:eastAsia="Times New Roman" w:cs="Arial"/>
          <w:sz w:val="24"/>
          <w:szCs w:val="24"/>
          <w:lang w:eastAsia="en-AU"/>
        </w:rPr>
        <w:t xml:space="preserve">The Tribunal is part of the Resource Management and Planning System of Tasmania (see Section 5 (3) of the </w:t>
      </w:r>
      <w:r w:rsidRPr="00C36CF6">
        <w:rPr>
          <w:rFonts w:eastAsia="Times New Roman" w:cs="Arial"/>
          <w:i/>
          <w:sz w:val="24"/>
          <w:szCs w:val="24"/>
          <w:lang w:eastAsia="en-AU"/>
        </w:rPr>
        <w:t>Appeal Tribunal Act</w:t>
      </w:r>
      <w:r w:rsidRPr="00C36CF6">
        <w:rPr>
          <w:rFonts w:eastAsia="Times New Roman" w:cs="Arial"/>
          <w:sz w:val="24"/>
          <w:szCs w:val="24"/>
          <w:lang w:eastAsia="en-AU"/>
        </w:rPr>
        <w:t xml:space="preserve">). The objectives of that System are in Schedule 1 of the </w:t>
      </w:r>
      <w:r w:rsidRPr="00C36CF6">
        <w:rPr>
          <w:rFonts w:eastAsia="Times New Roman" w:cs="Arial"/>
          <w:i/>
          <w:sz w:val="24"/>
          <w:szCs w:val="24"/>
          <w:lang w:eastAsia="en-AU"/>
        </w:rPr>
        <w:t>Appeal Tribunal Act</w:t>
      </w:r>
      <w:r w:rsidRPr="00C36CF6">
        <w:rPr>
          <w:rFonts w:eastAsia="Times New Roman" w:cs="Arial"/>
          <w:sz w:val="24"/>
          <w:szCs w:val="24"/>
          <w:lang w:eastAsia="en-AU"/>
        </w:rPr>
        <w:t xml:space="preserve">. They are: </w:t>
      </w:r>
    </w:p>
    <w:p w14:paraId="1A6E88A4" w14:textId="77777777" w:rsidR="00135A99" w:rsidRPr="00C36CF6" w:rsidRDefault="00135A99" w:rsidP="00135A99">
      <w:pPr>
        <w:spacing w:before="120" w:line="240" w:lineRule="auto"/>
        <w:ind w:left="1134" w:right="850" w:hanging="567"/>
        <w:jc w:val="both"/>
        <w:rPr>
          <w:rFonts w:eastAsia="Times New Roman" w:cs="Arial"/>
          <w:sz w:val="24"/>
          <w:szCs w:val="24"/>
          <w:lang w:val="en-GB" w:eastAsia="en-AU"/>
        </w:rPr>
      </w:pPr>
      <w:r w:rsidRPr="00C36CF6">
        <w:rPr>
          <w:rFonts w:eastAsia="Times New Roman" w:cs="Arial"/>
          <w:sz w:val="24"/>
          <w:szCs w:val="24"/>
          <w:lang w:val="en-GB" w:eastAsia="en-AU"/>
        </w:rPr>
        <w:t>“(a)</w:t>
      </w:r>
      <w:r w:rsidRPr="00C36CF6">
        <w:rPr>
          <w:rFonts w:eastAsia="Times New Roman" w:cs="Arial"/>
          <w:sz w:val="24"/>
          <w:szCs w:val="24"/>
          <w:lang w:val="en-GB" w:eastAsia="en-AU"/>
        </w:rPr>
        <w:tab/>
        <w:t>to promote the sustainable development of natural and physical resources and the maintenance of ecological processes and genetic diversity; and</w:t>
      </w:r>
    </w:p>
    <w:p w14:paraId="1D7CB713" w14:textId="77777777" w:rsidR="00135A99" w:rsidRPr="00C36CF6" w:rsidRDefault="00135A99" w:rsidP="00135A99">
      <w:pPr>
        <w:spacing w:before="120" w:line="240" w:lineRule="auto"/>
        <w:ind w:left="1134" w:right="850" w:hanging="567"/>
        <w:jc w:val="both"/>
        <w:rPr>
          <w:rFonts w:eastAsia="Times New Roman" w:cs="Arial"/>
          <w:sz w:val="24"/>
          <w:szCs w:val="24"/>
          <w:lang w:val="en-GB" w:eastAsia="en-AU"/>
        </w:rPr>
      </w:pPr>
      <w:r w:rsidRPr="00C36CF6">
        <w:rPr>
          <w:rFonts w:eastAsia="Times New Roman" w:cs="Arial"/>
          <w:sz w:val="24"/>
          <w:szCs w:val="24"/>
          <w:lang w:val="en-GB" w:eastAsia="en-AU"/>
        </w:rPr>
        <w:t>(b)</w:t>
      </w:r>
      <w:r w:rsidRPr="00C36CF6">
        <w:rPr>
          <w:rFonts w:eastAsia="Times New Roman" w:cs="Arial"/>
          <w:sz w:val="24"/>
          <w:szCs w:val="24"/>
          <w:lang w:val="en-GB" w:eastAsia="en-AU"/>
        </w:rPr>
        <w:tab/>
        <w:t>to provide for the fair, orderly and sustainable use and development of air, land and water; and</w:t>
      </w:r>
    </w:p>
    <w:p w14:paraId="54880FEB" w14:textId="77777777" w:rsidR="00135A99" w:rsidRPr="00C36CF6" w:rsidRDefault="00135A99" w:rsidP="00135A99">
      <w:pPr>
        <w:spacing w:before="120" w:line="240" w:lineRule="auto"/>
        <w:ind w:left="1134" w:right="850" w:hanging="567"/>
        <w:jc w:val="both"/>
        <w:rPr>
          <w:rFonts w:eastAsia="Times New Roman" w:cs="Arial"/>
          <w:sz w:val="24"/>
          <w:szCs w:val="24"/>
          <w:lang w:val="en-GB" w:eastAsia="en-AU"/>
        </w:rPr>
      </w:pPr>
      <w:r w:rsidRPr="00C36CF6">
        <w:rPr>
          <w:rFonts w:eastAsia="Times New Roman" w:cs="Arial"/>
          <w:sz w:val="24"/>
          <w:szCs w:val="24"/>
          <w:lang w:val="en-GB" w:eastAsia="en-AU"/>
        </w:rPr>
        <w:t>(c)</w:t>
      </w:r>
      <w:r w:rsidRPr="00C36CF6">
        <w:rPr>
          <w:rFonts w:eastAsia="Times New Roman" w:cs="Arial"/>
          <w:sz w:val="24"/>
          <w:szCs w:val="24"/>
          <w:lang w:val="en-GB" w:eastAsia="en-AU"/>
        </w:rPr>
        <w:tab/>
        <w:t>to encourage public involvement in resource management and planning; and</w:t>
      </w:r>
    </w:p>
    <w:p w14:paraId="02D7972C" w14:textId="77777777" w:rsidR="00135A99" w:rsidRDefault="00135A99" w:rsidP="00135A99">
      <w:pPr>
        <w:spacing w:before="120" w:line="240" w:lineRule="auto"/>
        <w:ind w:left="1134" w:right="850" w:hanging="567"/>
        <w:jc w:val="both"/>
        <w:rPr>
          <w:rFonts w:eastAsia="Times New Roman" w:cs="Arial"/>
          <w:sz w:val="24"/>
          <w:szCs w:val="24"/>
          <w:lang w:val="en-GB" w:eastAsia="en-AU"/>
        </w:rPr>
      </w:pPr>
      <w:r w:rsidRPr="00C36CF6">
        <w:rPr>
          <w:rFonts w:eastAsia="Times New Roman" w:cs="Arial"/>
          <w:sz w:val="24"/>
          <w:szCs w:val="24"/>
          <w:lang w:val="en-GB" w:eastAsia="en-AU"/>
        </w:rPr>
        <w:t>(d)</w:t>
      </w:r>
      <w:r w:rsidRPr="00C36CF6">
        <w:rPr>
          <w:rFonts w:eastAsia="Times New Roman" w:cs="Arial"/>
          <w:sz w:val="24"/>
          <w:szCs w:val="24"/>
          <w:lang w:val="en-GB" w:eastAsia="en-AU"/>
        </w:rPr>
        <w:tab/>
        <w:t>to facilitate economic development in accordance with the objectives set out in paragraphs (a), (b) and (c); and</w:t>
      </w:r>
    </w:p>
    <w:p w14:paraId="23CF1C92" w14:textId="77777777" w:rsidR="00135A99" w:rsidRPr="00C36CF6" w:rsidRDefault="00135A99" w:rsidP="00135A99">
      <w:pPr>
        <w:spacing w:before="120" w:line="240" w:lineRule="auto"/>
        <w:ind w:left="1134" w:right="850" w:hanging="567"/>
        <w:jc w:val="both"/>
        <w:rPr>
          <w:rFonts w:eastAsia="Times New Roman" w:cs="Arial"/>
          <w:sz w:val="24"/>
          <w:szCs w:val="24"/>
          <w:lang w:val="en-GB" w:eastAsia="en-AU"/>
        </w:rPr>
      </w:pPr>
      <w:r>
        <w:rPr>
          <w:rFonts w:eastAsia="Times New Roman" w:cs="Arial"/>
          <w:sz w:val="24"/>
          <w:szCs w:val="24"/>
          <w:lang w:val="en-GB" w:eastAsia="en-AU"/>
        </w:rPr>
        <w:t xml:space="preserve">(e)  </w:t>
      </w:r>
      <w:r>
        <w:rPr>
          <w:rFonts w:eastAsia="Times New Roman" w:cs="Arial"/>
          <w:sz w:val="24"/>
          <w:szCs w:val="24"/>
          <w:lang w:val="en-GB" w:eastAsia="en-AU"/>
        </w:rPr>
        <w:tab/>
      </w:r>
      <w:r w:rsidRPr="00C36CF6">
        <w:rPr>
          <w:rFonts w:eastAsia="Times New Roman" w:cs="Arial"/>
          <w:sz w:val="24"/>
          <w:szCs w:val="24"/>
          <w:lang w:val="en-GB" w:eastAsia="en-AU"/>
        </w:rPr>
        <w:t>to promote the sharing of responsibility for resource management and planning between the different spheres of Government, the community and industry in the State.”</w:t>
      </w:r>
    </w:p>
    <w:p w14:paraId="5B87DF9C" w14:textId="77777777" w:rsidR="00135A99" w:rsidRPr="00C36CF6" w:rsidRDefault="00135A99" w:rsidP="00135A99">
      <w:pPr>
        <w:pStyle w:val="BodyTextIndent"/>
      </w:pPr>
      <w:r w:rsidRPr="00C36CF6">
        <w:t>“Sustainable development” is defined as meaning, to manage “…the use, development and protection of natural and physical resources in a way, or at a rate, which enables people and communities to provide for their social, economic and cultural well-being and for their health and safety while –</w:t>
      </w:r>
      <w:bookmarkStart w:id="9" w:name="JS1@GC2@Hpa@EN"/>
      <w:bookmarkEnd w:id="9"/>
      <w:r w:rsidRPr="00C36CF6">
        <w:t xml:space="preserve"> </w:t>
      </w:r>
    </w:p>
    <w:p w14:paraId="069A5AF6" w14:textId="77777777" w:rsidR="00135A99" w:rsidRPr="00C36CF6" w:rsidRDefault="00135A99" w:rsidP="00135A99">
      <w:pPr>
        <w:spacing w:before="120" w:line="240" w:lineRule="auto"/>
        <w:ind w:left="1134" w:right="849" w:hanging="567"/>
        <w:jc w:val="both"/>
        <w:rPr>
          <w:rFonts w:eastAsia="Times New Roman" w:cs="Arial"/>
          <w:sz w:val="24"/>
          <w:szCs w:val="24"/>
          <w:lang w:eastAsia="en-AU"/>
        </w:rPr>
      </w:pPr>
      <w:r w:rsidRPr="00C36CF6">
        <w:rPr>
          <w:rFonts w:eastAsia="Times New Roman" w:cs="Arial"/>
          <w:b/>
          <w:bCs/>
          <w:sz w:val="24"/>
          <w:szCs w:val="24"/>
          <w:lang w:eastAsia="en-AU"/>
        </w:rPr>
        <w:t>(a)</w:t>
      </w:r>
      <w:r w:rsidRPr="00C36CF6">
        <w:rPr>
          <w:rFonts w:eastAsia="Times New Roman" w:cs="Arial"/>
          <w:sz w:val="24"/>
          <w:szCs w:val="24"/>
          <w:lang w:eastAsia="en-AU"/>
        </w:rPr>
        <w:t xml:space="preserve"> </w:t>
      </w:r>
      <w:r w:rsidRPr="00C36CF6">
        <w:rPr>
          <w:rFonts w:eastAsia="Times New Roman" w:cs="Arial"/>
          <w:sz w:val="24"/>
          <w:szCs w:val="24"/>
          <w:lang w:eastAsia="en-AU"/>
        </w:rPr>
        <w:tab/>
        <w:t>sustaining the potential of natural and physical resources to meet the reasonably foreseeable needs of future generations; and</w:t>
      </w:r>
    </w:p>
    <w:p w14:paraId="6AA0496F" w14:textId="77777777" w:rsidR="00135A99" w:rsidRPr="00C36CF6" w:rsidRDefault="00135A99" w:rsidP="00135A99">
      <w:pPr>
        <w:spacing w:before="120" w:line="240" w:lineRule="auto"/>
        <w:ind w:left="1134" w:right="849" w:hanging="567"/>
        <w:jc w:val="both"/>
        <w:rPr>
          <w:rFonts w:eastAsia="Times New Roman" w:cs="Arial"/>
          <w:sz w:val="24"/>
          <w:szCs w:val="24"/>
          <w:lang w:eastAsia="en-AU"/>
        </w:rPr>
      </w:pPr>
      <w:bookmarkStart w:id="10" w:name="JS1@GC2@Hpb@EN"/>
      <w:bookmarkEnd w:id="10"/>
      <w:r w:rsidRPr="00C36CF6">
        <w:rPr>
          <w:rFonts w:eastAsia="Times New Roman" w:cs="Arial"/>
          <w:b/>
          <w:bCs/>
          <w:sz w:val="24"/>
          <w:szCs w:val="24"/>
          <w:lang w:eastAsia="en-AU"/>
        </w:rPr>
        <w:t>(b)</w:t>
      </w:r>
      <w:r w:rsidRPr="00C36CF6">
        <w:rPr>
          <w:rFonts w:eastAsia="Times New Roman" w:cs="Arial"/>
          <w:sz w:val="24"/>
          <w:szCs w:val="24"/>
          <w:lang w:eastAsia="en-AU"/>
        </w:rPr>
        <w:t xml:space="preserve"> </w:t>
      </w:r>
      <w:r w:rsidRPr="00C36CF6">
        <w:rPr>
          <w:rFonts w:eastAsia="Times New Roman" w:cs="Arial"/>
          <w:sz w:val="24"/>
          <w:szCs w:val="24"/>
          <w:lang w:eastAsia="en-AU"/>
        </w:rPr>
        <w:tab/>
        <w:t>safeguarding the life-supporting capacity of air, water, soil and ecosystems; and</w:t>
      </w:r>
    </w:p>
    <w:p w14:paraId="222E1EC3" w14:textId="77777777" w:rsidR="00135A99" w:rsidRDefault="00135A99" w:rsidP="00135A99">
      <w:pPr>
        <w:spacing w:before="120" w:line="240" w:lineRule="auto"/>
        <w:ind w:left="1134" w:hanging="567"/>
        <w:jc w:val="both"/>
        <w:rPr>
          <w:rFonts w:eastAsia="Times New Roman" w:cs="Arial"/>
          <w:sz w:val="24"/>
          <w:szCs w:val="24"/>
          <w:lang w:eastAsia="en-AU"/>
        </w:rPr>
      </w:pPr>
      <w:bookmarkStart w:id="11" w:name="JS1@GC2@Hpc@EN"/>
      <w:bookmarkEnd w:id="11"/>
      <w:r w:rsidRPr="00C36CF6">
        <w:rPr>
          <w:rFonts w:eastAsia="Times New Roman" w:cs="Arial"/>
          <w:b/>
          <w:bCs/>
          <w:sz w:val="24"/>
          <w:szCs w:val="24"/>
          <w:lang w:eastAsia="en-AU"/>
        </w:rPr>
        <w:t>(c)</w:t>
      </w:r>
      <w:r w:rsidRPr="00C36CF6">
        <w:rPr>
          <w:rFonts w:eastAsia="Times New Roman" w:cs="Arial"/>
          <w:sz w:val="24"/>
          <w:szCs w:val="24"/>
          <w:lang w:eastAsia="en-AU"/>
        </w:rPr>
        <w:t xml:space="preserve"> </w:t>
      </w:r>
      <w:r w:rsidRPr="00C36CF6">
        <w:rPr>
          <w:rFonts w:eastAsia="Times New Roman" w:cs="Arial"/>
          <w:sz w:val="24"/>
          <w:szCs w:val="24"/>
          <w:lang w:eastAsia="en-AU"/>
        </w:rPr>
        <w:tab/>
        <w:t>avoiding, remedying or mitigating any adverse effects of activities on the environment.”</w:t>
      </w:r>
    </w:p>
    <w:bookmarkEnd w:id="7"/>
    <w:bookmarkEnd w:id="8"/>
    <w:p w14:paraId="5E5EE6D8" w14:textId="77777777" w:rsidR="004352A6" w:rsidRPr="00621BCA" w:rsidRDefault="004352A6" w:rsidP="002D76C1">
      <w:pPr>
        <w:pStyle w:val="Heading3"/>
        <w:numPr>
          <w:ilvl w:val="0"/>
          <w:numId w:val="0"/>
        </w:numPr>
        <w:ind w:left="720"/>
        <w:rPr>
          <w:rFonts w:ascii="Gill Sans MT" w:hAnsi="Gill Sans MT"/>
        </w:rPr>
        <w:sectPr w:rsidR="004352A6" w:rsidRPr="00621BCA" w:rsidSect="006B3AA8">
          <w:footerReference w:type="default" r:id="rId12"/>
          <w:headerReference w:type="first" r:id="rId13"/>
          <w:pgSz w:w="11906" w:h="16838"/>
          <w:pgMar w:top="1440" w:right="1440" w:bottom="1440" w:left="1440" w:header="708" w:footer="708" w:gutter="0"/>
          <w:cols w:space="708"/>
          <w:docGrid w:linePitch="360"/>
        </w:sectPr>
      </w:pPr>
    </w:p>
    <w:p w14:paraId="79CADBA9" w14:textId="5BB8C767" w:rsidR="00022058" w:rsidRPr="002D76C1" w:rsidRDefault="002D76C1" w:rsidP="00C37155">
      <w:pPr>
        <w:pStyle w:val="Heading1"/>
        <w:spacing w:after="240"/>
        <w:ind w:left="567" w:hanging="567"/>
        <w:rPr>
          <w:rFonts w:ascii="Gill Sans MT" w:hAnsi="Gill Sans MT"/>
          <w:sz w:val="32"/>
          <w:shd w:val="clear" w:color="auto" w:fill="FFFFFF"/>
        </w:rPr>
      </w:pPr>
      <w:bookmarkStart w:id="12" w:name="_Toc495485024"/>
      <w:r w:rsidRPr="002D76C1">
        <w:rPr>
          <w:rFonts w:ascii="Gill Sans MT" w:hAnsi="Gill Sans MT"/>
          <w:sz w:val="32"/>
          <w:shd w:val="clear" w:color="auto" w:fill="FFFFFF"/>
        </w:rPr>
        <w:lastRenderedPageBreak/>
        <w:t>Members of the Tribunal as at 30/06/17</w:t>
      </w:r>
      <w:bookmarkEnd w:id="12"/>
    </w:p>
    <w:tbl>
      <w:tblPr>
        <w:tblW w:w="0" w:type="auto"/>
        <w:jc w:val="center"/>
        <w:tblCellMar>
          <w:left w:w="0" w:type="dxa"/>
          <w:right w:w="0" w:type="dxa"/>
        </w:tblCellMar>
        <w:tblLook w:val="04A0" w:firstRow="1" w:lastRow="0" w:firstColumn="1" w:lastColumn="0" w:noHBand="0" w:noVBand="1"/>
      </w:tblPr>
      <w:tblGrid>
        <w:gridCol w:w="3119"/>
        <w:gridCol w:w="1701"/>
        <w:gridCol w:w="3402"/>
      </w:tblGrid>
      <w:tr w:rsidR="005E4B61" w14:paraId="4D630C32" w14:textId="77777777" w:rsidTr="00F34B90">
        <w:trPr>
          <w:tblHeader/>
          <w:jc w:val="center"/>
        </w:trPr>
        <w:tc>
          <w:tcPr>
            <w:tcW w:w="3119"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p w14:paraId="7659D183" w14:textId="77777777" w:rsidR="005E4B61" w:rsidRDefault="009B54E9" w:rsidP="00F34B90">
            <w:pPr>
              <w:keepNext/>
              <w:spacing w:before="120" w:line="240" w:lineRule="auto"/>
              <w:jc w:val="center"/>
              <w:rPr>
                <w:rFonts w:eastAsiaTheme="minorHAnsi"/>
                <w:b/>
                <w:bCs/>
                <w:sz w:val="24"/>
                <w:szCs w:val="24"/>
                <w:lang w:val="en-GB" w:eastAsia="en-AU"/>
              </w:rPr>
            </w:pPr>
            <w:r>
              <w:rPr>
                <w:b/>
                <w:bCs/>
                <w:sz w:val="24"/>
                <w:szCs w:val="24"/>
                <w:lang w:val="en-GB" w:eastAsia="en-AU"/>
              </w:rPr>
              <w:t>Member</w:t>
            </w:r>
          </w:p>
        </w:tc>
        <w:tc>
          <w:tcPr>
            <w:tcW w:w="1701"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p w14:paraId="6EC776D0" w14:textId="77777777" w:rsidR="005E4B61" w:rsidRDefault="005E4B61" w:rsidP="00F34B90">
            <w:pPr>
              <w:spacing w:before="120" w:line="240" w:lineRule="auto"/>
              <w:jc w:val="center"/>
              <w:rPr>
                <w:rFonts w:eastAsiaTheme="minorHAnsi"/>
                <w:b/>
                <w:bCs/>
                <w:sz w:val="24"/>
                <w:szCs w:val="24"/>
                <w:lang w:val="en-GB" w:eastAsia="en-AU"/>
              </w:rPr>
            </w:pPr>
            <w:r>
              <w:rPr>
                <w:b/>
                <w:bCs/>
                <w:sz w:val="24"/>
                <w:szCs w:val="24"/>
                <w:lang w:val="en-GB" w:eastAsia="en-AU"/>
              </w:rPr>
              <w:t>Appointed until</w:t>
            </w:r>
          </w:p>
        </w:tc>
        <w:tc>
          <w:tcPr>
            <w:tcW w:w="3402"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p w14:paraId="7525FCE0" w14:textId="77777777" w:rsidR="005E4B61" w:rsidRDefault="005E4B61" w:rsidP="009B54E9">
            <w:pPr>
              <w:keepNext/>
              <w:spacing w:before="120" w:line="240" w:lineRule="auto"/>
              <w:jc w:val="center"/>
              <w:rPr>
                <w:rFonts w:eastAsiaTheme="minorHAnsi"/>
                <w:b/>
                <w:bCs/>
                <w:sz w:val="24"/>
                <w:szCs w:val="24"/>
                <w:lang w:val="en-GB" w:eastAsia="en-AU"/>
              </w:rPr>
            </w:pPr>
            <w:r>
              <w:rPr>
                <w:b/>
                <w:bCs/>
                <w:sz w:val="24"/>
                <w:szCs w:val="24"/>
                <w:lang w:val="en-GB" w:eastAsia="en-AU"/>
              </w:rPr>
              <w:t>Area of Expertise</w:t>
            </w:r>
          </w:p>
        </w:tc>
      </w:tr>
      <w:tr w:rsidR="005E4B61" w14:paraId="0D34E2DE"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D7A683" w14:textId="77777777" w:rsidR="005E4B61" w:rsidRDefault="005E4B61" w:rsidP="00F34B90">
            <w:pPr>
              <w:keepNext/>
              <w:spacing w:before="120" w:line="240" w:lineRule="auto"/>
              <w:rPr>
                <w:rFonts w:eastAsiaTheme="minorHAnsi"/>
                <w:sz w:val="24"/>
                <w:szCs w:val="24"/>
                <w:lang w:val="en-GB" w:eastAsia="en-AU"/>
              </w:rPr>
            </w:pPr>
            <w:r>
              <w:rPr>
                <w:b/>
                <w:bCs/>
                <w:sz w:val="24"/>
                <w:szCs w:val="24"/>
                <w:lang w:val="en-GB" w:eastAsia="en-AU"/>
              </w:rPr>
              <w:t>Arnold</w:t>
            </w:r>
            <w:r>
              <w:rPr>
                <w:sz w:val="24"/>
                <w:szCs w:val="24"/>
                <w:lang w:val="en-GB" w:eastAsia="en-AU"/>
              </w:rPr>
              <w:t>, Mr P</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4B1BF350"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24/09/17</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0A522A7E" w14:textId="77777777" w:rsidR="005E4B61" w:rsidRDefault="005E4B61" w:rsidP="00F34B90">
            <w:pPr>
              <w:keepNext/>
              <w:spacing w:before="120" w:line="240" w:lineRule="auto"/>
              <w:rPr>
                <w:rFonts w:eastAsiaTheme="minorHAnsi"/>
                <w:sz w:val="24"/>
                <w:szCs w:val="24"/>
                <w:lang w:val="en-GB" w:eastAsia="en-AU"/>
              </w:rPr>
            </w:pPr>
            <w:r>
              <w:rPr>
                <w:sz w:val="24"/>
                <w:szCs w:val="24"/>
                <w:lang w:val="en-GB" w:eastAsia="en-AU"/>
              </w:rPr>
              <w:t>Building</w:t>
            </w:r>
          </w:p>
        </w:tc>
      </w:tr>
      <w:tr w:rsidR="005E4B61" w14:paraId="36753025"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F00FE0"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 xml:space="preserve">Baird, </w:t>
            </w:r>
            <w:r>
              <w:rPr>
                <w:sz w:val="24"/>
                <w:szCs w:val="24"/>
                <w:lang w:val="en-GB" w:eastAsia="en-AU"/>
              </w:rPr>
              <w:t>Ms M L</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9DEB2D"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02/09/18</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53FF47"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Planning</w:t>
            </w:r>
          </w:p>
        </w:tc>
      </w:tr>
      <w:tr w:rsidR="005E4B61" w14:paraId="27634657"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C4BDC1"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 xml:space="preserve">Ball, </w:t>
            </w:r>
            <w:r>
              <w:rPr>
                <w:sz w:val="24"/>
                <w:szCs w:val="24"/>
                <w:lang w:val="en-GB" w:eastAsia="en-AU"/>
              </w:rPr>
              <w:t>Mr M E</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B06570"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27/10/18</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3048BD"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Planning</w:t>
            </w:r>
          </w:p>
        </w:tc>
      </w:tr>
      <w:tr w:rsidR="005E4B61" w14:paraId="2AACCA76"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8E3C9E"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 xml:space="preserve">Bensz, </w:t>
            </w:r>
            <w:r>
              <w:rPr>
                <w:sz w:val="24"/>
                <w:szCs w:val="24"/>
                <w:lang w:val="en-GB" w:eastAsia="en-AU"/>
              </w:rPr>
              <w:t>Ms E A</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B8380A"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06/05/20</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4AABC6"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Planning</w:t>
            </w:r>
          </w:p>
        </w:tc>
      </w:tr>
      <w:tr w:rsidR="005E4B61" w14:paraId="6D51E18A"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1DFCA56" w14:textId="77777777" w:rsidR="005E4B61" w:rsidRPr="005E4B61" w:rsidRDefault="005E4B61" w:rsidP="005E4B61">
            <w:pPr>
              <w:spacing w:before="120" w:line="240" w:lineRule="auto"/>
              <w:rPr>
                <w:bCs/>
                <w:sz w:val="24"/>
                <w:szCs w:val="24"/>
                <w:lang w:val="en-GB" w:eastAsia="en-AU"/>
              </w:rPr>
            </w:pPr>
            <w:r w:rsidRPr="005E4B61">
              <w:rPr>
                <w:b/>
                <w:bCs/>
                <w:sz w:val="24"/>
                <w:szCs w:val="24"/>
                <w:lang w:val="en-GB" w:eastAsia="en-AU"/>
              </w:rPr>
              <w:t>Blakesley</w:t>
            </w:r>
            <w:r>
              <w:rPr>
                <w:bCs/>
                <w:sz w:val="24"/>
                <w:szCs w:val="24"/>
                <w:lang w:val="en-GB" w:eastAsia="en-AU"/>
              </w:rPr>
              <w:t xml:space="preserve">, Mr A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41622B4B" w14:textId="77777777" w:rsidR="005E4B61" w:rsidRDefault="005E4B61" w:rsidP="00F34B90">
            <w:pPr>
              <w:spacing w:before="120" w:line="240" w:lineRule="auto"/>
              <w:jc w:val="center"/>
              <w:rPr>
                <w:sz w:val="24"/>
                <w:szCs w:val="24"/>
                <w:lang w:val="en-GB" w:eastAsia="en-AU"/>
              </w:rPr>
            </w:pPr>
            <w:r>
              <w:rPr>
                <w:sz w:val="24"/>
                <w:szCs w:val="24"/>
                <w:lang w:val="en-GB" w:eastAsia="en-AU"/>
              </w:rPr>
              <w:t>06/03/18</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6E23C538" w14:textId="77777777" w:rsidR="005E4B61" w:rsidRDefault="005E4B61" w:rsidP="00F34B90">
            <w:pPr>
              <w:spacing w:before="120" w:line="240" w:lineRule="auto"/>
              <w:rPr>
                <w:sz w:val="24"/>
                <w:szCs w:val="24"/>
                <w:lang w:val="en-GB" w:eastAsia="en-AU"/>
              </w:rPr>
            </w:pPr>
            <w:r>
              <w:rPr>
                <w:sz w:val="24"/>
                <w:szCs w:val="24"/>
                <w:lang w:val="en-GB" w:eastAsia="en-AU"/>
              </w:rPr>
              <w:t>Forestry</w:t>
            </w:r>
          </w:p>
        </w:tc>
      </w:tr>
      <w:tr w:rsidR="005549C0" w14:paraId="7611C43B"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46500F" w14:textId="77777777" w:rsidR="005549C0" w:rsidRPr="005549C0" w:rsidRDefault="005549C0" w:rsidP="00F34B90">
            <w:pPr>
              <w:spacing w:before="120" w:line="240" w:lineRule="auto"/>
              <w:rPr>
                <w:bCs/>
                <w:sz w:val="24"/>
                <w:szCs w:val="24"/>
                <w:lang w:val="en-GB" w:eastAsia="en-AU"/>
              </w:rPr>
            </w:pPr>
            <w:r>
              <w:rPr>
                <w:b/>
                <w:bCs/>
                <w:sz w:val="24"/>
                <w:szCs w:val="24"/>
                <w:lang w:val="en-GB" w:eastAsia="en-AU"/>
              </w:rPr>
              <w:t xml:space="preserve">Brereton, </w:t>
            </w:r>
            <w:r>
              <w:rPr>
                <w:bCs/>
                <w:sz w:val="24"/>
                <w:szCs w:val="24"/>
                <w:lang w:val="en-GB" w:eastAsia="en-AU"/>
              </w:rPr>
              <w:t>Mr R</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197A4311" w14:textId="77777777" w:rsidR="005549C0" w:rsidRDefault="005549C0" w:rsidP="00F34B90">
            <w:pPr>
              <w:spacing w:before="120" w:line="240" w:lineRule="auto"/>
              <w:jc w:val="center"/>
              <w:rPr>
                <w:sz w:val="24"/>
                <w:szCs w:val="24"/>
                <w:lang w:val="en-GB" w:eastAsia="en-AU"/>
              </w:rPr>
            </w:pPr>
            <w:r>
              <w:rPr>
                <w:sz w:val="24"/>
                <w:szCs w:val="24"/>
                <w:lang w:val="en-GB" w:eastAsia="en-AU"/>
              </w:rPr>
              <w:t>06/03/18</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026BA125" w14:textId="77777777" w:rsidR="005549C0" w:rsidRDefault="005549C0" w:rsidP="00F34B90">
            <w:pPr>
              <w:spacing w:before="120" w:line="240" w:lineRule="auto"/>
              <w:rPr>
                <w:sz w:val="24"/>
                <w:szCs w:val="24"/>
                <w:lang w:val="en-GB" w:eastAsia="en-AU"/>
              </w:rPr>
            </w:pPr>
            <w:r>
              <w:rPr>
                <w:sz w:val="24"/>
                <w:szCs w:val="24"/>
                <w:lang w:val="en-GB" w:eastAsia="en-AU"/>
              </w:rPr>
              <w:t>Forestry</w:t>
            </w:r>
          </w:p>
        </w:tc>
      </w:tr>
      <w:tr w:rsidR="005E4B61" w14:paraId="4078A4F2"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A209B1"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Bryant,</w:t>
            </w:r>
            <w:r>
              <w:rPr>
                <w:sz w:val="24"/>
                <w:szCs w:val="24"/>
                <w:lang w:val="en-GB" w:eastAsia="en-AU"/>
              </w:rPr>
              <w:t xml:space="preserve"> Ms N</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5A9841"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27/10/18</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8FBDFE"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Legal</w:t>
            </w:r>
          </w:p>
        </w:tc>
      </w:tr>
      <w:tr w:rsidR="005549C0" w14:paraId="19A02E11"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5CB26D" w14:textId="77777777" w:rsidR="005549C0" w:rsidRPr="005549C0" w:rsidRDefault="005549C0" w:rsidP="00F34B90">
            <w:pPr>
              <w:spacing w:before="120" w:line="240" w:lineRule="auto"/>
              <w:rPr>
                <w:bCs/>
                <w:sz w:val="24"/>
                <w:szCs w:val="24"/>
                <w:lang w:val="en-GB" w:eastAsia="en-AU"/>
              </w:rPr>
            </w:pPr>
            <w:r>
              <w:rPr>
                <w:b/>
                <w:bCs/>
                <w:sz w:val="24"/>
                <w:szCs w:val="24"/>
                <w:lang w:val="en-GB" w:eastAsia="en-AU"/>
              </w:rPr>
              <w:t>Calvert</w:t>
            </w:r>
            <w:r>
              <w:rPr>
                <w:bCs/>
                <w:sz w:val="24"/>
                <w:szCs w:val="24"/>
                <w:lang w:val="en-GB" w:eastAsia="en-AU"/>
              </w:rPr>
              <w:t>, Mr N</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5235E99F" w14:textId="77777777" w:rsidR="005549C0" w:rsidRDefault="005549C0" w:rsidP="00F34B90">
            <w:pPr>
              <w:spacing w:before="120" w:line="240" w:lineRule="auto"/>
              <w:jc w:val="center"/>
              <w:rPr>
                <w:sz w:val="24"/>
                <w:szCs w:val="24"/>
                <w:lang w:val="en-GB" w:eastAsia="en-AU"/>
              </w:rPr>
            </w:pPr>
            <w:r>
              <w:rPr>
                <w:sz w:val="24"/>
                <w:szCs w:val="24"/>
                <w:lang w:val="en-GB" w:eastAsia="en-AU"/>
              </w:rPr>
              <w:t>06/03/18</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7950537F" w14:textId="77777777" w:rsidR="005549C0" w:rsidRDefault="005549C0" w:rsidP="00F34B90">
            <w:pPr>
              <w:spacing w:before="120" w:line="240" w:lineRule="auto"/>
              <w:rPr>
                <w:sz w:val="24"/>
                <w:szCs w:val="24"/>
                <w:lang w:val="en-GB" w:eastAsia="en-AU"/>
              </w:rPr>
            </w:pPr>
            <w:r>
              <w:rPr>
                <w:sz w:val="24"/>
                <w:szCs w:val="24"/>
                <w:lang w:val="en-GB" w:eastAsia="en-AU"/>
              </w:rPr>
              <w:t>Forestry</w:t>
            </w:r>
          </w:p>
        </w:tc>
      </w:tr>
      <w:tr w:rsidR="005E4B61" w14:paraId="537148DB"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1410A0" w14:textId="77777777" w:rsidR="005E4B61" w:rsidRDefault="005E4B61" w:rsidP="00F34B90">
            <w:pPr>
              <w:spacing w:before="120" w:line="240" w:lineRule="auto"/>
              <w:rPr>
                <w:rFonts w:eastAsiaTheme="minorHAnsi"/>
                <w:b/>
                <w:bCs/>
                <w:sz w:val="24"/>
                <w:szCs w:val="24"/>
                <w:lang w:val="en-GB" w:eastAsia="en-AU"/>
              </w:rPr>
            </w:pPr>
            <w:r>
              <w:rPr>
                <w:b/>
                <w:bCs/>
                <w:sz w:val="24"/>
                <w:szCs w:val="24"/>
                <w:lang w:val="en-GB" w:eastAsia="en-AU"/>
              </w:rPr>
              <w:t xml:space="preserve">Code, </w:t>
            </w:r>
            <w:r>
              <w:rPr>
                <w:sz w:val="24"/>
                <w:szCs w:val="24"/>
                <w:lang w:val="en-GB" w:eastAsia="en-AU"/>
              </w:rPr>
              <w:t>Mr G</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CEAAC8"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02/09/18</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7AA0A2"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Legal</w:t>
            </w:r>
          </w:p>
        </w:tc>
      </w:tr>
      <w:tr w:rsidR="005E4B61" w14:paraId="29ED096D"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04E9E0"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 xml:space="preserve">Cripps, </w:t>
            </w:r>
            <w:r>
              <w:rPr>
                <w:sz w:val="24"/>
                <w:szCs w:val="24"/>
                <w:lang w:val="en-GB" w:eastAsia="en-AU"/>
              </w:rPr>
              <w:t>Mr P</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8D1AEE"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24/09/17</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4EED28"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Building</w:t>
            </w:r>
          </w:p>
        </w:tc>
      </w:tr>
      <w:tr w:rsidR="005E4B61" w14:paraId="42F0A3B4"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8F51AD"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Cunningham,</w:t>
            </w:r>
            <w:r>
              <w:rPr>
                <w:sz w:val="24"/>
                <w:szCs w:val="24"/>
                <w:lang w:val="en-GB" w:eastAsia="en-AU"/>
              </w:rPr>
              <w:t xml:space="preserve"> Mrs AF</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3CFA5D"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19/07/17</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5DBB8B"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Legal</w:t>
            </w:r>
          </w:p>
        </w:tc>
      </w:tr>
      <w:tr w:rsidR="005549C0" w14:paraId="2F39DE46"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4C512EC" w14:textId="77777777" w:rsidR="005549C0" w:rsidRPr="005549C0" w:rsidRDefault="005549C0" w:rsidP="00F34B90">
            <w:pPr>
              <w:spacing w:before="120" w:line="240" w:lineRule="auto"/>
              <w:rPr>
                <w:bCs/>
                <w:sz w:val="24"/>
                <w:szCs w:val="24"/>
                <w:lang w:val="en-GB" w:eastAsia="en-AU"/>
              </w:rPr>
            </w:pPr>
            <w:r>
              <w:rPr>
                <w:b/>
                <w:bCs/>
                <w:sz w:val="24"/>
                <w:szCs w:val="24"/>
                <w:lang w:val="en-GB" w:eastAsia="en-AU"/>
              </w:rPr>
              <w:t xml:space="preserve">Davis, </w:t>
            </w:r>
            <w:r>
              <w:rPr>
                <w:bCs/>
                <w:sz w:val="24"/>
                <w:szCs w:val="24"/>
                <w:lang w:val="en-GB" w:eastAsia="en-AU"/>
              </w:rPr>
              <w:t>Ms J</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3773BC1B" w14:textId="77777777" w:rsidR="005549C0" w:rsidRDefault="005549C0" w:rsidP="00F34B90">
            <w:pPr>
              <w:spacing w:before="120" w:line="240" w:lineRule="auto"/>
              <w:jc w:val="center"/>
              <w:rPr>
                <w:sz w:val="24"/>
                <w:szCs w:val="24"/>
                <w:lang w:val="en-GB" w:eastAsia="en-AU"/>
              </w:rPr>
            </w:pPr>
            <w:r>
              <w:rPr>
                <w:sz w:val="24"/>
                <w:szCs w:val="24"/>
                <w:lang w:val="en-GB" w:eastAsia="en-AU"/>
              </w:rPr>
              <w:t>24/08/20</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6E041F83" w14:textId="77777777" w:rsidR="005549C0" w:rsidRDefault="00EA0715" w:rsidP="00F34B90">
            <w:pPr>
              <w:spacing w:before="120" w:line="240" w:lineRule="auto"/>
              <w:rPr>
                <w:sz w:val="24"/>
                <w:szCs w:val="24"/>
                <w:lang w:val="en-GB" w:eastAsia="en-AU"/>
              </w:rPr>
            </w:pPr>
            <w:r>
              <w:rPr>
                <w:sz w:val="24"/>
                <w:szCs w:val="24"/>
                <w:lang w:val="en-GB" w:eastAsia="en-AU"/>
              </w:rPr>
              <w:t>Planning</w:t>
            </w:r>
          </w:p>
        </w:tc>
      </w:tr>
      <w:tr w:rsidR="002C7988" w14:paraId="3FDC9453"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A10FCAB" w14:textId="77777777" w:rsidR="002C7988" w:rsidRPr="002C7988" w:rsidRDefault="002C7988" w:rsidP="00F34B90">
            <w:pPr>
              <w:spacing w:before="120" w:line="240" w:lineRule="auto"/>
              <w:rPr>
                <w:bCs/>
                <w:sz w:val="24"/>
                <w:szCs w:val="24"/>
                <w:lang w:val="en-GB" w:eastAsia="en-AU"/>
              </w:rPr>
            </w:pPr>
            <w:r>
              <w:rPr>
                <w:b/>
                <w:bCs/>
                <w:sz w:val="24"/>
                <w:szCs w:val="24"/>
                <w:lang w:val="en-GB" w:eastAsia="en-AU"/>
              </w:rPr>
              <w:t>Gilfedder</w:t>
            </w:r>
            <w:r>
              <w:rPr>
                <w:bCs/>
                <w:sz w:val="24"/>
                <w:szCs w:val="24"/>
                <w:lang w:val="en-GB" w:eastAsia="en-AU"/>
              </w:rPr>
              <w:t>, Ms L</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58BA12C6" w14:textId="77777777" w:rsidR="002C7988" w:rsidRDefault="002C7988" w:rsidP="00F34B90">
            <w:pPr>
              <w:spacing w:before="120" w:line="240" w:lineRule="auto"/>
              <w:jc w:val="center"/>
              <w:rPr>
                <w:sz w:val="24"/>
                <w:szCs w:val="24"/>
                <w:lang w:val="en-GB" w:eastAsia="en-AU"/>
              </w:rPr>
            </w:pPr>
            <w:r>
              <w:rPr>
                <w:sz w:val="24"/>
                <w:szCs w:val="24"/>
                <w:lang w:val="en-GB" w:eastAsia="en-AU"/>
              </w:rPr>
              <w:t>06/03/18</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756F09EC" w14:textId="77777777" w:rsidR="002C7988" w:rsidRDefault="002C7988" w:rsidP="00F34B90">
            <w:pPr>
              <w:spacing w:before="120" w:line="240" w:lineRule="auto"/>
              <w:rPr>
                <w:sz w:val="24"/>
                <w:szCs w:val="24"/>
                <w:lang w:val="en-GB" w:eastAsia="en-AU"/>
              </w:rPr>
            </w:pPr>
            <w:r>
              <w:rPr>
                <w:sz w:val="24"/>
                <w:szCs w:val="24"/>
                <w:lang w:val="en-GB" w:eastAsia="en-AU"/>
              </w:rPr>
              <w:t xml:space="preserve">Forestry </w:t>
            </w:r>
          </w:p>
        </w:tc>
      </w:tr>
      <w:tr w:rsidR="005E4B61" w14:paraId="527FD7AE" w14:textId="77777777" w:rsidTr="00F34B90">
        <w:trPr>
          <w:trHeight w:val="265"/>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331C15"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 xml:space="preserve">Gliddon, </w:t>
            </w:r>
            <w:r>
              <w:rPr>
                <w:sz w:val="24"/>
                <w:szCs w:val="24"/>
                <w:lang w:val="en-GB" w:eastAsia="en-AU"/>
              </w:rPr>
              <w:t>Ms A</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C902A2"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24/09/17</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76D2BF"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Building</w:t>
            </w:r>
          </w:p>
        </w:tc>
      </w:tr>
      <w:tr w:rsidR="002C7988" w14:paraId="67F4B2C8" w14:textId="77777777" w:rsidTr="00F34B90">
        <w:trPr>
          <w:trHeight w:val="552"/>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D821671" w14:textId="77777777" w:rsidR="002C7988" w:rsidRPr="002C7988" w:rsidRDefault="002C7988" w:rsidP="00F34B90">
            <w:pPr>
              <w:spacing w:before="120" w:line="240" w:lineRule="auto"/>
              <w:rPr>
                <w:bCs/>
                <w:sz w:val="24"/>
                <w:szCs w:val="24"/>
                <w:lang w:val="en-GB" w:eastAsia="en-AU"/>
              </w:rPr>
            </w:pPr>
            <w:r>
              <w:rPr>
                <w:b/>
                <w:bCs/>
                <w:sz w:val="24"/>
                <w:szCs w:val="24"/>
                <w:lang w:val="en-GB" w:eastAsia="en-AU"/>
              </w:rPr>
              <w:t>Gunson,</w:t>
            </w:r>
            <w:r>
              <w:rPr>
                <w:bCs/>
                <w:sz w:val="24"/>
                <w:szCs w:val="24"/>
                <w:lang w:val="en-GB" w:eastAsia="en-AU"/>
              </w:rPr>
              <w:t xml:space="preserve"> Mr C</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52A39390" w14:textId="77777777" w:rsidR="002C7988" w:rsidRDefault="002C7988" w:rsidP="00F34B90">
            <w:pPr>
              <w:spacing w:before="120" w:line="240" w:lineRule="auto"/>
              <w:jc w:val="center"/>
              <w:rPr>
                <w:sz w:val="24"/>
                <w:szCs w:val="24"/>
                <w:lang w:val="en-GB" w:eastAsia="en-AU"/>
              </w:rPr>
            </w:pPr>
            <w:r>
              <w:rPr>
                <w:sz w:val="24"/>
                <w:szCs w:val="24"/>
                <w:lang w:val="en-GB" w:eastAsia="en-AU"/>
              </w:rPr>
              <w:t>06/03/18</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6860E316" w14:textId="77777777" w:rsidR="002C7988" w:rsidRDefault="002C7988" w:rsidP="00F34B90">
            <w:pPr>
              <w:spacing w:before="120" w:line="240" w:lineRule="auto"/>
              <w:rPr>
                <w:sz w:val="24"/>
                <w:szCs w:val="24"/>
                <w:lang w:val="en-GB" w:eastAsia="en-AU"/>
              </w:rPr>
            </w:pPr>
            <w:r>
              <w:rPr>
                <w:sz w:val="24"/>
                <w:szCs w:val="24"/>
                <w:lang w:val="en-GB" w:eastAsia="en-AU"/>
              </w:rPr>
              <w:t>Forestry</w:t>
            </w:r>
          </w:p>
        </w:tc>
      </w:tr>
      <w:tr w:rsidR="005E4B61" w14:paraId="7D588AC8" w14:textId="77777777" w:rsidTr="00F34B90">
        <w:trPr>
          <w:trHeight w:val="552"/>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7BA329" w14:textId="77777777" w:rsidR="005E4B61" w:rsidRDefault="005E4B61" w:rsidP="00F34B90">
            <w:pPr>
              <w:spacing w:before="120" w:line="240" w:lineRule="auto"/>
              <w:rPr>
                <w:rFonts w:eastAsiaTheme="minorHAnsi"/>
                <w:i/>
                <w:iCs/>
                <w:sz w:val="24"/>
                <w:szCs w:val="24"/>
                <w:lang w:val="en-GB" w:eastAsia="en-AU"/>
              </w:rPr>
            </w:pPr>
            <w:r>
              <w:rPr>
                <w:b/>
                <w:bCs/>
                <w:sz w:val="24"/>
                <w:szCs w:val="24"/>
                <w:lang w:val="en-GB" w:eastAsia="en-AU"/>
              </w:rPr>
              <w:t xml:space="preserve">Healy, </w:t>
            </w:r>
            <w:r>
              <w:rPr>
                <w:sz w:val="24"/>
                <w:szCs w:val="24"/>
                <w:lang w:val="en-GB" w:eastAsia="en-AU"/>
              </w:rPr>
              <w:t>Ms</w:t>
            </w:r>
            <w:r>
              <w:rPr>
                <w:i/>
                <w:iCs/>
                <w:sz w:val="24"/>
                <w:szCs w:val="24"/>
                <w:lang w:val="en-GB" w:eastAsia="en-AU"/>
              </w:rPr>
              <w:t xml:space="preserve"> </w:t>
            </w:r>
            <w:r>
              <w:rPr>
                <w:sz w:val="24"/>
                <w:szCs w:val="24"/>
                <w:lang w:val="en-GB" w:eastAsia="en-AU"/>
              </w:rPr>
              <w:t>F</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2F2313"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25/06/17</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617F2B"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Science/Environmental Management</w:t>
            </w:r>
          </w:p>
        </w:tc>
      </w:tr>
      <w:tr w:rsidR="005E4B61" w14:paraId="5EC8B29B"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D105BB"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 xml:space="preserve">Hogue, </w:t>
            </w:r>
            <w:r>
              <w:rPr>
                <w:sz w:val="24"/>
                <w:szCs w:val="24"/>
                <w:lang w:val="en-GB" w:eastAsia="en-AU"/>
              </w:rPr>
              <w:t>Mrs S</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D5A024"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06/05/20</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6D4A50"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Planning</w:t>
            </w:r>
          </w:p>
        </w:tc>
      </w:tr>
      <w:tr w:rsidR="005E4B61" w14:paraId="5031894B"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78D274" w14:textId="77777777" w:rsidR="005E4B61" w:rsidRDefault="005E4B61" w:rsidP="00F34B90">
            <w:pPr>
              <w:spacing w:before="120" w:line="240" w:lineRule="auto"/>
              <w:rPr>
                <w:rFonts w:eastAsiaTheme="minorHAnsi"/>
                <w:b/>
                <w:bCs/>
                <w:sz w:val="24"/>
                <w:szCs w:val="24"/>
                <w:lang w:val="en-GB" w:eastAsia="en-AU"/>
              </w:rPr>
            </w:pPr>
            <w:r>
              <w:rPr>
                <w:b/>
                <w:bCs/>
                <w:sz w:val="24"/>
                <w:szCs w:val="24"/>
                <w:lang w:val="en-GB" w:eastAsia="en-AU"/>
              </w:rPr>
              <w:t xml:space="preserve">Howlett, </w:t>
            </w:r>
            <w:r>
              <w:rPr>
                <w:sz w:val="24"/>
                <w:szCs w:val="24"/>
                <w:lang w:val="en-GB" w:eastAsia="en-AU"/>
              </w:rPr>
              <w:t>Mr</w:t>
            </w:r>
            <w:r>
              <w:rPr>
                <w:b/>
                <w:bCs/>
                <w:sz w:val="24"/>
                <w:szCs w:val="24"/>
                <w:lang w:val="en-GB" w:eastAsia="en-AU"/>
              </w:rPr>
              <w:t xml:space="preserve"> </w:t>
            </w:r>
            <w:r>
              <w:rPr>
                <w:sz w:val="24"/>
                <w:szCs w:val="24"/>
                <w:lang w:val="en-GB" w:eastAsia="en-AU"/>
              </w:rPr>
              <w:t>DR</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2E866E"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06/05/20</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7FF15"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Planning</w:t>
            </w:r>
          </w:p>
        </w:tc>
      </w:tr>
      <w:tr w:rsidR="005E4B61" w14:paraId="291D8EB0"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6CD2B9"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Hurst,</w:t>
            </w:r>
            <w:r>
              <w:rPr>
                <w:sz w:val="24"/>
                <w:szCs w:val="24"/>
                <w:lang w:val="en-GB" w:eastAsia="en-AU"/>
              </w:rPr>
              <w:t xml:space="preserve"> Mr A</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DCB9D4"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24/09/17</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D1E3D0"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Building</w:t>
            </w:r>
          </w:p>
        </w:tc>
      </w:tr>
      <w:tr w:rsidR="002C7988" w14:paraId="482475B1"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DF7AD88" w14:textId="77777777" w:rsidR="002C7988" w:rsidRPr="00B63081" w:rsidRDefault="00B63081" w:rsidP="00F34B90">
            <w:pPr>
              <w:spacing w:before="120" w:line="240" w:lineRule="auto"/>
              <w:rPr>
                <w:bCs/>
                <w:sz w:val="24"/>
                <w:szCs w:val="24"/>
                <w:lang w:val="en-GB" w:eastAsia="en-AU"/>
              </w:rPr>
            </w:pPr>
            <w:r>
              <w:rPr>
                <w:b/>
                <w:bCs/>
                <w:sz w:val="24"/>
                <w:szCs w:val="24"/>
                <w:lang w:val="en-GB" w:eastAsia="en-AU"/>
              </w:rPr>
              <w:lastRenderedPageBreak/>
              <w:t xml:space="preserve">Kantvilas, </w:t>
            </w:r>
            <w:r>
              <w:rPr>
                <w:bCs/>
                <w:sz w:val="24"/>
                <w:szCs w:val="24"/>
                <w:lang w:val="en-GB" w:eastAsia="en-AU"/>
              </w:rPr>
              <w:t>Mr G</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51C93211" w14:textId="77777777" w:rsidR="002C7988" w:rsidRDefault="00B63081" w:rsidP="00F34B90">
            <w:pPr>
              <w:spacing w:before="120" w:line="240" w:lineRule="auto"/>
              <w:jc w:val="center"/>
              <w:rPr>
                <w:sz w:val="24"/>
                <w:szCs w:val="24"/>
                <w:lang w:val="en-GB" w:eastAsia="en-AU"/>
              </w:rPr>
            </w:pPr>
            <w:r>
              <w:rPr>
                <w:sz w:val="24"/>
                <w:szCs w:val="24"/>
                <w:lang w:val="en-GB" w:eastAsia="en-AU"/>
              </w:rPr>
              <w:t>06/03/18</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2E92932A" w14:textId="77777777" w:rsidR="002C7988" w:rsidRDefault="00B63081" w:rsidP="00F34B90">
            <w:pPr>
              <w:spacing w:before="120" w:line="240" w:lineRule="auto"/>
              <w:rPr>
                <w:sz w:val="24"/>
                <w:szCs w:val="24"/>
                <w:lang w:val="en-GB" w:eastAsia="en-AU"/>
              </w:rPr>
            </w:pPr>
            <w:r>
              <w:rPr>
                <w:sz w:val="24"/>
                <w:szCs w:val="24"/>
                <w:lang w:val="en-GB" w:eastAsia="en-AU"/>
              </w:rPr>
              <w:t>Forestry</w:t>
            </w:r>
          </w:p>
        </w:tc>
      </w:tr>
      <w:tr w:rsidR="005E4B61" w14:paraId="644D32C7"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C3F36C"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 xml:space="preserve">Keating, </w:t>
            </w:r>
            <w:r>
              <w:rPr>
                <w:sz w:val="24"/>
                <w:szCs w:val="24"/>
                <w:lang w:val="en-GB" w:eastAsia="en-AU"/>
              </w:rPr>
              <w:t>Mr GF</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5E5432"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24/09/17</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D0D377"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Building</w:t>
            </w:r>
          </w:p>
        </w:tc>
      </w:tr>
      <w:tr w:rsidR="00B63081" w14:paraId="6A6C9E0F"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0A1DF21" w14:textId="77777777" w:rsidR="00B63081" w:rsidRPr="00B63081" w:rsidRDefault="00B63081" w:rsidP="00F34B90">
            <w:pPr>
              <w:spacing w:before="120" w:line="240" w:lineRule="auto"/>
              <w:rPr>
                <w:bCs/>
                <w:sz w:val="24"/>
                <w:szCs w:val="24"/>
                <w:lang w:val="en-GB" w:eastAsia="en-AU"/>
              </w:rPr>
            </w:pPr>
            <w:r>
              <w:rPr>
                <w:b/>
                <w:bCs/>
                <w:sz w:val="24"/>
                <w:szCs w:val="24"/>
                <w:lang w:val="en-GB" w:eastAsia="en-AU"/>
              </w:rPr>
              <w:t xml:space="preserve">Kitchell, </w:t>
            </w:r>
            <w:r>
              <w:rPr>
                <w:bCs/>
                <w:sz w:val="24"/>
                <w:szCs w:val="24"/>
                <w:lang w:val="en-GB" w:eastAsia="en-AU"/>
              </w:rPr>
              <w:t>Mr M</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5CF99881" w14:textId="77777777" w:rsidR="00B63081" w:rsidRDefault="00B63081" w:rsidP="00F34B90">
            <w:pPr>
              <w:spacing w:before="120" w:line="240" w:lineRule="auto"/>
              <w:jc w:val="center"/>
              <w:rPr>
                <w:sz w:val="24"/>
                <w:szCs w:val="24"/>
                <w:lang w:val="en-GB" w:eastAsia="en-AU"/>
              </w:rPr>
            </w:pPr>
            <w:r>
              <w:rPr>
                <w:sz w:val="24"/>
                <w:szCs w:val="24"/>
                <w:lang w:val="en-GB" w:eastAsia="en-AU"/>
              </w:rPr>
              <w:t>24/08/20</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6E5C6A73" w14:textId="77777777" w:rsidR="00B63081" w:rsidRDefault="00B63081" w:rsidP="00F34B90">
            <w:pPr>
              <w:spacing w:before="120" w:line="240" w:lineRule="auto"/>
              <w:rPr>
                <w:sz w:val="24"/>
                <w:szCs w:val="24"/>
                <w:lang w:val="en-GB" w:eastAsia="en-AU"/>
              </w:rPr>
            </w:pPr>
            <w:r>
              <w:rPr>
                <w:sz w:val="24"/>
                <w:szCs w:val="24"/>
                <w:lang w:val="en-GB" w:eastAsia="en-AU"/>
              </w:rPr>
              <w:t xml:space="preserve">Building </w:t>
            </w:r>
          </w:p>
        </w:tc>
      </w:tr>
      <w:tr w:rsidR="005E4B61" w14:paraId="041152A1"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88F05" w14:textId="77777777" w:rsidR="005E4B61" w:rsidRPr="00826FDE" w:rsidRDefault="00826FDE" w:rsidP="00F34B90">
            <w:pPr>
              <w:spacing w:before="120" w:line="240" w:lineRule="auto"/>
              <w:rPr>
                <w:rFonts w:eastAsiaTheme="minorHAnsi"/>
                <w:sz w:val="24"/>
                <w:szCs w:val="24"/>
                <w:lang w:val="en-GB" w:eastAsia="en-AU"/>
              </w:rPr>
            </w:pPr>
            <w:r>
              <w:rPr>
                <w:b/>
                <w:bCs/>
                <w:sz w:val="24"/>
                <w:szCs w:val="24"/>
                <w:lang w:val="en-GB" w:eastAsia="en-AU"/>
              </w:rPr>
              <w:t xml:space="preserve">Locher, </w:t>
            </w:r>
            <w:r>
              <w:rPr>
                <w:bCs/>
                <w:sz w:val="24"/>
                <w:szCs w:val="24"/>
                <w:lang w:val="en-GB" w:eastAsia="en-AU"/>
              </w:rPr>
              <w:t>Dr H</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93B065" w14:textId="77777777" w:rsidR="005E4B61" w:rsidRDefault="00826FDE" w:rsidP="00F34B90">
            <w:pPr>
              <w:spacing w:before="120" w:line="240" w:lineRule="auto"/>
              <w:jc w:val="center"/>
              <w:rPr>
                <w:rFonts w:eastAsiaTheme="minorHAnsi"/>
                <w:sz w:val="24"/>
                <w:szCs w:val="24"/>
                <w:lang w:val="en-GB" w:eastAsia="en-AU"/>
              </w:rPr>
            </w:pPr>
            <w:r>
              <w:rPr>
                <w:sz w:val="24"/>
                <w:szCs w:val="24"/>
                <w:lang w:val="en-GB" w:eastAsia="en-AU"/>
              </w:rPr>
              <w:t>24/08/20</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E2FD04" w14:textId="77777777" w:rsidR="005E4B61" w:rsidRDefault="00EA0715" w:rsidP="00F34B90">
            <w:pPr>
              <w:spacing w:before="120" w:line="240" w:lineRule="auto"/>
              <w:rPr>
                <w:rFonts w:eastAsiaTheme="minorHAnsi"/>
                <w:sz w:val="24"/>
                <w:szCs w:val="24"/>
                <w:lang w:val="en-GB" w:eastAsia="en-AU"/>
              </w:rPr>
            </w:pPr>
            <w:r>
              <w:rPr>
                <w:rFonts w:eastAsiaTheme="minorHAnsi"/>
                <w:sz w:val="24"/>
                <w:szCs w:val="24"/>
                <w:lang w:val="en-GB" w:eastAsia="en-AU"/>
              </w:rPr>
              <w:t xml:space="preserve">Planning </w:t>
            </w:r>
          </w:p>
        </w:tc>
      </w:tr>
      <w:tr w:rsidR="005E4B61" w14:paraId="4E764E54"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9BAB9A"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 xml:space="preserve">Locke, </w:t>
            </w:r>
            <w:r>
              <w:rPr>
                <w:sz w:val="24"/>
                <w:szCs w:val="24"/>
                <w:lang w:val="en-GB" w:eastAsia="en-AU"/>
              </w:rPr>
              <w:t>Mr R</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1306DE"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24/09/17</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FB36E8"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Building</w:t>
            </w:r>
          </w:p>
        </w:tc>
      </w:tr>
      <w:tr w:rsidR="005E4B61" w14:paraId="07184BAD"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A7C382"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 xml:space="preserve">McMullen, </w:t>
            </w:r>
            <w:r>
              <w:rPr>
                <w:sz w:val="24"/>
                <w:szCs w:val="24"/>
                <w:lang w:val="en-GB" w:eastAsia="en-AU"/>
              </w:rPr>
              <w:t>(</w:t>
            </w:r>
            <w:r>
              <w:rPr>
                <w:i/>
                <w:iCs/>
                <w:sz w:val="24"/>
                <w:szCs w:val="24"/>
                <w:lang w:val="en-GB" w:eastAsia="en-AU"/>
              </w:rPr>
              <w:t>Tony</w:t>
            </w:r>
            <w:r>
              <w:rPr>
                <w:sz w:val="24"/>
                <w:szCs w:val="24"/>
                <w:lang w:val="en-GB" w:eastAsia="en-AU"/>
              </w:rPr>
              <w:t>) A Mr</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0427A5"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25/08/18</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71C17A"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Planning</w:t>
            </w:r>
          </w:p>
        </w:tc>
      </w:tr>
      <w:tr w:rsidR="005E4B61" w14:paraId="5115DCCB"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A1BE3F8" w14:textId="77777777" w:rsidR="005E4B61" w:rsidRDefault="00826FDE" w:rsidP="00826FDE">
            <w:pPr>
              <w:spacing w:before="120" w:line="240" w:lineRule="auto"/>
              <w:rPr>
                <w:rFonts w:eastAsiaTheme="minorHAnsi"/>
                <w:sz w:val="24"/>
                <w:szCs w:val="24"/>
                <w:lang w:val="en-GB" w:eastAsia="en-AU"/>
              </w:rPr>
            </w:pPr>
            <w:r>
              <w:rPr>
                <w:b/>
                <w:bCs/>
                <w:sz w:val="24"/>
                <w:szCs w:val="24"/>
                <w:lang w:val="en-GB" w:eastAsia="en-AU"/>
              </w:rPr>
              <w:t>Masters</w:t>
            </w:r>
            <w:r w:rsidR="005E4B61">
              <w:rPr>
                <w:b/>
                <w:bCs/>
                <w:sz w:val="24"/>
                <w:szCs w:val="24"/>
                <w:lang w:val="en-GB" w:eastAsia="en-AU"/>
              </w:rPr>
              <w:t>,</w:t>
            </w:r>
            <w:r w:rsidR="005E4B61">
              <w:rPr>
                <w:sz w:val="24"/>
                <w:szCs w:val="24"/>
                <w:lang w:val="en-GB" w:eastAsia="en-AU"/>
              </w:rPr>
              <w:t xml:space="preserve"> Mr </w:t>
            </w:r>
            <w:r>
              <w:rPr>
                <w:sz w:val="24"/>
                <w:szCs w:val="24"/>
                <w:lang w:val="en-GB" w:eastAsia="en-AU"/>
              </w:rPr>
              <w:t>D</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057CCF" w14:textId="77777777" w:rsidR="005E4B61" w:rsidRDefault="00826FDE" w:rsidP="00F34B90">
            <w:pPr>
              <w:spacing w:before="120" w:line="240" w:lineRule="auto"/>
              <w:jc w:val="center"/>
              <w:rPr>
                <w:rFonts w:eastAsiaTheme="minorHAnsi"/>
                <w:sz w:val="24"/>
                <w:szCs w:val="24"/>
                <w:lang w:val="en-GB" w:eastAsia="en-AU"/>
              </w:rPr>
            </w:pPr>
            <w:r>
              <w:rPr>
                <w:sz w:val="24"/>
                <w:szCs w:val="24"/>
                <w:lang w:val="en-GB" w:eastAsia="en-AU"/>
              </w:rPr>
              <w:t>24/08/20</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91D144" w14:textId="77777777" w:rsidR="005E4B61" w:rsidRDefault="00826FDE" w:rsidP="00F34B90">
            <w:pPr>
              <w:spacing w:before="120" w:line="240" w:lineRule="auto"/>
              <w:rPr>
                <w:rFonts w:eastAsiaTheme="minorHAnsi"/>
                <w:sz w:val="24"/>
                <w:szCs w:val="24"/>
                <w:lang w:val="en-GB" w:eastAsia="en-AU"/>
              </w:rPr>
            </w:pPr>
            <w:r>
              <w:rPr>
                <w:sz w:val="24"/>
                <w:szCs w:val="24"/>
                <w:lang w:val="en-GB" w:eastAsia="en-AU"/>
              </w:rPr>
              <w:t xml:space="preserve">Planning </w:t>
            </w:r>
          </w:p>
        </w:tc>
      </w:tr>
      <w:tr w:rsidR="005E4B61" w14:paraId="2A6FFD73"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C42F56" w14:textId="77777777" w:rsidR="005E4B61" w:rsidRDefault="005E4B61" w:rsidP="00F34B90">
            <w:pPr>
              <w:spacing w:before="120" w:line="240" w:lineRule="auto"/>
              <w:rPr>
                <w:rFonts w:eastAsiaTheme="minorHAnsi"/>
                <w:b/>
                <w:bCs/>
                <w:sz w:val="24"/>
                <w:szCs w:val="24"/>
                <w:lang w:val="en-GB" w:eastAsia="en-AU"/>
              </w:rPr>
            </w:pPr>
            <w:r>
              <w:rPr>
                <w:b/>
                <w:bCs/>
                <w:sz w:val="24"/>
                <w:szCs w:val="24"/>
                <w:lang w:val="en-GB" w:eastAsia="en-AU"/>
              </w:rPr>
              <w:t xml:space="preserve">Mucha, </w:t>
            </w:r>
            <w:r>
              <w:rPr>
                <w:sz w:val="24"/>
                <w:szCs w:val="24"/>
                <w:lang w:val="en-GB" w:eastAsia="en-AU"/>
              </w:rPr>
              <w:t>Dr C</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58DD0B"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05/08/18</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24D0EE"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Water management/major infrastructure</w:t>
            </w:r>
          </w:p>
        </w:tc>
      </w:tr>
      <w:tr w:rsidR="005E4B61" w14:paraId="607F4504"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5AE717"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 xml:space="preserve">Murphy, </w:t>
            </w:r>
            <w:r>
              <w:rPr>
                <w:sz w:val="24"/>
                <w:szCs w:val="24"/>
                <w:lang w:val="en-GB" w:eastAsia="en-AU"/>
              </w:rPr>
              <w:t>Mr R</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602DAE"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24/09/17</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C53B43"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Building</w:t>
            </w:r>
          </w:p>
        </w:tc>
      </w:tr>
      <w:tr w:rsidR="005E4B61" w14:paraId="0ABFB884"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8795D4"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Neale,</w:t>
            </w:r>
            <w:r>
              <w:rPr>
                <w:sz w:val="24"/>
                <w:szCs w:val="24"/>
                <w:lang w:val="en-GB" w:eastAsia="en-AU"/>
              </w:rPr>
              <w:t xml:space="preserve"> Dr A</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8BA4A8"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02/03/19</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38952C"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Heritage</w:t>
            </w:r>
          </w:p>
        </w:tc>
      </w:tr>
      <w:tr w:rsidR="005E4B61" w14:paraId="09AFCEF5"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16596C"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 xml:space="preserve">Nicholson, </w:t>
            </w:r>
            <w:r>
              <w:rPr>
                <w:sz w:val="24"/>
                <w:szCs w:val="24"/>
                <w:lang w:val="en-GB" w:eastAsia="en-AU"/>
              </w:rPr>
              <w:t>Ms C</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716A4A"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09/05/21</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075BA4"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Planning/</w:t>
            </w:r>
          </w:p>
          <w:p w14:paraId="13539CB7"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Environmental management</w:t>
            </w:r>
          </w:p>
        </w:tc>
      </w:tr>
      <w:tr w:rsidR="005E4B61" w14:paraId="3E2B0B7A"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A34281" w14:textId="77777777" w:rsidR="005E4B61" w:rsidRDefault="005E4B61" w:rsidP="00F34B90">
            <w:pPr>
              <w:spacing w:before="120" w:line="240" w:lineRule="auto"/>
              <w:rPr>
                <w:rFonts w:eastAsiaTheme="minorHAnsi"/>
                <w:i/>
                <w:iCs/>
                <w:sz w:val="24"/>
                <w:szCs w:val="24"/>
                <w:lang w:val="en-GB" w:eastAsia="en-AU"/>
              </w:rPr>
            </w:pPr>
            <w:r>
              <w:rPr>
                <w:b/>
                <w:bCs/>
                <w:sz w:val="24"/>
                <w:szCs w:val="24"/>
                <w:lang w:val="en-GB" w:eastAsia="en-AU"/>
              </w:rPr>
              <w:t>Nolan,</w:t>
            </w:r>
            <w:r>
              <w:rPr>
                <w:sz w:val="24"/>
                <w:szCs w:val="24"/>
                <w:lang w:val="en-GB" w:eastAsia="en-AU"/>
              </w:rPr>
              <w:t xml:space="preserve"> Mr RJ</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3B1CDD"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06/05/20</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CF277E"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Planning</w:t>
            </w:r>
          </w:p>
        </w:tc>
      </w:tr>
      <w:tr w:rsidR="00F9352F" w14:paraId="3EADF99F"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4642728" w14:textId="77777777" w:rsidR="00F9352F" w:rsidRPr="00F9352F" w:rsidRDefault="00F9352F" w:rsidP="00F34B90">
            <w:pPr>
              <w:spacing w:before="120" w:line="240" w:lineRule="auto"/>
              <w:rPr>
                <w:bCs/>
                <w:sz w:val="24"/>
                <w:szCs w:val="24"/>
                <w:lang w:val="en-GB" w:eastAsia="en-AU"/>
              </w:rPr>
            </w:pPr>
            <w:r>
              <w:rPr>
                <w:b/>
                <w:bCs/>
                <w:sz w:val="24"/>
                <w:szCs w:val="24"/>
                <w:lang w:val="en-GB" w:eastAsia="en-AU"/>
              </w:rPr>
              <w:t xml:space="preserve">Pitt, </w:t>
            </w:r>
            <w:r>
              <w:rPr>
                <w:bCs/>
                <w:sz w:val="24"/>
                <w:szCs w:val="24"/>
                <w:lang w:val="en-GB" w:eastAsia="en-AU"/>
              </w:rPr>
              <w:t>Mr K</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613EE938" w14:textId="77777777" w:rsidR="00F9352F" w:rsidRDefault="00F9352F" w:rsidP="00F34B90">
            <w:pPr>
              <w:spacing w:before="120" w:line="240" w:lineRule="auto"/>
              <w:jc w:val="center"/>
              <w:rPr>
                <w:sz w:val="24"/>
                <w:szCs w:val="24"/>
                <w:lang w:val="en-GB" w:eastAsia="en-AU"/>
              </w:rPr>
            </w:pPr>
            <w:r>
              <w:rPr>
                <w:sz w:val="24"/>
                <w:szCs w:val="24"/>
                <w:lang w:val="en-GB" w:eastAsia="en-AU"/>
              </w:rPr>
              <w:t>06/03/18</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4585F251" w14:textId="77777777" w:rsidR="00F9352F" w:rsidRDefault="00F9352F" w:rsidP="00F34B90">
            <w:pPr>
              <w:spacing w:before="120" w:line="240" w:lineRule="auto"/>
              <w:rPr>
                <w:sz w:val="24"/>
                <w:szCs w:val="24"/>
                <w:lang w:val="en-GB" w:eastAsia="en-AU"/>
              </w:rPr>
            </w:pPr>
            <w:r>
              <w:rPr>
                <w:sz w:val="24"/>
                <w:szCs w:val="24"/>
                <w:lang w:val="en-GB" w:eastAsia="en-AU"/>
              </w:rPr>
              <w:t>Legal</w:t>
            </w:r>
          </w:p>
        </w:tc>
      </w:tr>
      <w:tr w:rsidR="00F9352F" w14:paraId="06C8969F"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34E2DB1" w14:textId="77777777" w:rsidR="00F9352F" w:rsidRPr="00F9352F" w:rsidRDefault="00F9352F" w:rsidP="00F34B90">
            <w:pPr>
              <w:spacing w:before="120" w:line="240" w:lineRule="auto"/>
              <w:rPr>
                <w:bCs/>
                <w:sz w:val="24"/>
                <w:szCs w:val="24"/>
                <w:lang w:val="en-GB" w:eastAsia="en-AU"/>
              </w:rPr>
            </w:pPr>
            <w:r>
              <w:rPr>
                <w:b/>
                <w:bCs/>
                <w:sz w:val="24"/>
                <w:szCs w:val="24"/>
                <w:lang w:val="en-GB" w:eastAsia="en-AU"/>
              </w:rPr>
              <w:t xml:space="preserve">Pretty, </w:t>
            </w:r>
            <w:r>
              <w:rPr>
                <w:bCs/>
                <w:sz w:val="24"/>
                <w:szCs w:val="24"/>
                <w:lang w:val="en-GB" w:eastAsia="en-AU"/>
              </w:rPr>
              <w:t>Mr J</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593BAC7A" w14:textId="77777777" w:rsidR="00F9352F" w:rsidRDefault="00F9352F" w:rsidP="00F34B90">
            <w:pPr>
              <w:spacing w:before="120" w:line="240" w:lineRule="auto"/>
              <w:jc w:val="center"/>
              <w:rPr>
                <w:sz w:val="24"/>
                <w:szCs w:val="24"/>
                <w:lang w:val="en-GB" w:eastAsia="en-AU"/>
              </w:rPr>
            </w:pPr>
            <w:r>
              <w:rPr>
                <w:sz w:val="24"/>
                <w:szCs w:val="24"/>
                <w:lang w:val="en-GB" w:eastAsia="en-AU"/>
              </w:rPr>
              <w:t>06/03/18</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6154A19B" w14:textId="77777777" w:rsidR="00F9352F" w:rsidRDefault="00F9352F" w:rsidP="00F34B90">
            <w:pPr>
              <w:spacing w:before="120" w:line="240" w:lineRule="auto"/>
              <w:rPr>
                <w:sz w:val="24"/>
                <w:szCs w:val="24"/>
                <w:lang w:val="en-GB" w:eastAsia="en-AU"/>
              </w:rPr>
            </w:pPr>
            <w:r>
              <w:rPr>
                <w:sz w:val="24"/>
                <w:szCs w:val="24"/>
                <w:lang w:val="en-GB" w:eastAsia="en-AU"/>
              </w:rPr>
              <w:t>Forestry</w:t>
            </w:r>
          </w:p>
        </w:tc>
      </w:tr>
      <w:tr w:rsidR="00F9352F" w14:paraId="081682A9"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8470709" w14:textId="77777777" w:rsidR="00F9352F" w:rsidRPr="00F9352F" w:rsidRDefault="00F9352F" w:rsidP="00F34B90">
            <w:pPr>
              <w:spacing w:before="120" w:line="240" w:lineRule="auto"/>
              <w:rPr>
                <w:bCs/>
                <w:sz w:val="24"/>
                <w:szCs w:val="24"/>
                <w:lang w:val="en-GB" w:eastAsia="en-AU"/>
              </w:rPr>
            </w:pPr>
            <w:r>
              <w:rPr>
                <w:b/>
                <w:bCs/>
                <w:sz w:val="24"/>
                <w:szCs w:val="24"/>
                <w:lang w:val="en-GB" w:eastAsia="en-AU"/>
              </w:rPr>
              <w:t xml:space="preserve">Schaap, </w:t>
            </w:r>
            <w:r>
              <w:rPr>
                <w:bCs/>
                <w:sz w:val="24"/>
                <w:szCs w:val="24"/>
                <w:lang w:val="en-GB" w:eastAsia="en-AU"/>
              </w:rPr>
              <w:t>Mr A</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37E5C3BB" w14:textId="77777777" w:rsidR="00F9352F" w:rsidRDefault="00F9352F" w:rsidP="00F34B90">
            <w:pPr>
              <w:spacing w:before="120" w:line="240" w:lineRule="auto"/>
              <w:jc w:val="center"/>
              <w:rPr>
                <w:sz w:val="24"/>
                <w:szCs w:val="24"/>
                <w:lang w:val="en-GB" w:eastAsia="en-AU"/>
              </w:rPr>
            </w:pPr>
            <w:r>
              <w:rPr>
                <w:sz w:val="24"/>
                <w:szCs w:val="24"/>
                <w:lang w:val="en-GB" w:eastAsia="en-AU"/>
              </w:rPr>
              <w:t>24/08/20</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0492A026" w14:textId="77777777" w:rsidR="00F9352F" w:rsidRDefault="00F9352F" w:rsidP="00F34B90">
            <w:pPr>
              <w:spacing w:before="120" w:line="240" w:lineRule="auto"/>
              <w:rPr>
                <w:sz w:val="24"/>
                <w:szCs w:val="24"/>
                <w:lang w:val="en-GB" w:eastAsia="en-AU"/>
              </w:rPr>
            </w:pPr>
            <w:r>
              <w:rPr>
                <w:sz w:val="24"/>
                <w:szCs w:val="24"/>
                <w:lang w:val="en-GB" w:eastAsia="en-AU"/>
              </w:rPr>
              <w:t xml:space="preserve">Environmental management </w:t>
            </w:r>
          </w:p>
        </w:tc>
      </w:tr>
      <w:tr w:rsidR="005E4B61" w14:paraId="6F59A490"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9F515A"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 xml:space="preserve">Smith, </w:t>
            </w:r>
            <w:r>
              <w:rPr>
                <w:sz w:val="24"/>
                <w:szCs w:val="24"/>
                <w:lang w:val="en-GB" w:eastAsia="en-AU"/>
              </w:rPr>
              <w:t>Ms A</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00E03C"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24/09/17</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A71EE8"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Legal</w:t>
            </w:r>
          </w:p>
        </w:tc>
      </w:tr>
      <w:tr w:rsidR="005E4B61" w14:paraId="54978465"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0B12EF"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Spratt,</w:t>
            </w:r>
            <w:r>
              <w:rPr>
                <w:sz w:val="24"/>
                <w:szCs w:val="24"/>
                <w:lang w:val="en-GB" w:eastAsia="en-AU"/>
              </w:rPr>
              <w:t xml:space="preserve"> Mr P</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E246F3"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24/09/17</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C88FDF"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Civil &amp; structural engineering</w:t>
            </w:r>
          </w:p>
          <w:p w14:paraId="2C4455AC"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Heritage &amp; building conservation</w:t>
            </w:r>
          </w:p>
        </w:tc>
      </w:tr>
      <w:tr w:rsidR="005E4B61" w14:paraId="50AFC696"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BEF985"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 xml:space="preserve">Stratford, </w:t>
            </w:r>
            <w:r>
              <w:rPr>
                <w:sz w:val="24"/>
                <w:szCs w:val="24"/>
                <w:lang w:val="en-GB" w:eastAsia="en-AU"/>
              </w:rPr>
              <w:t xml:space="preserve">Dr E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77538F"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02/03/19</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CD7289"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Geography/Environmental studies</w:t>
            </w:r>
          </w:p>
        </w:tc>
      </w:tr>
      <w:tr w:rsidR="005E4B61" w14:paraId="602D0656"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625A03"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lastRenderedPageBreak/>
              <w:t xml:space="preserve">Thompson, </w:t>
            </w:r>
            <w:r>
              <w:rPr>
                <w:sz w:val="24"/>
                <w:szCs w:val="24"/>
                <w:lang w:val="en-GB" w:eastAsia="en-AU"/>
              </w:rPr>
              <w:t>Mr S</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23DFB0"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24/09/17</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491811"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Building</w:t>
            </w:r>
          </w:p>
        </w:tc>
      </w:tr>
      <w:tr w:rsidR="005E4B61" w14:paraId="4033935D"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58F9FE"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Webster,</w:t>
            </w:r>
            <w:r>
              <w:rPr>
                <w:sz w:val="24"/>
                <w:szCs w:val="24"/>
                <w:lang w:val="en-GB" w:eastAsia="en-AU"/>
              </w:rPr>
              <w:t xml:space="preserve"> Professor JC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7B5C92"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02/03/19</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9AF19A"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Architect/heritage/planning</w:t>
            </w:r>
          </w:p>
        </w:tc>
      </w:tr>
      <w:tr w:rsidR="005E4B61" w14:paraId="48FA8B13" w14:textId="77777777" w:rsidTr="00F34B90">
        <w:trPr>
          <w:jc w:val="center"/>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A92F47" w14:textId="77777777" w:rsidR="005E4B61" w:rsidRDefault="005E4B61" w:rsidP="00F34B90">
            <w:pPr>
              <w:spacing w:before="120" w:line="240" w:lineRule="auto"/>
              <w:rPr>
                <w:rFonts w:eastAsiaTheme="minorHAnsi"/>
                <w:sz w:val="24"/>
                <w:szCs w:val="24"/>
                <w:lang w:val="en-GB" w:eastAsia="en-AU"/>
              </w:rPr>
            </w:pPr>
            <w:r>
              <w:rPr>
                <w:b/>
                <w:bCs/>
                <w:sz w:val="24"/>
                <w:szCs w:val="24"/>
                <w:lang w:val="en-GB" w:eastAsia="en-AU"/>
              </w:rPr>
              <w:t xml:space="preserve">Wong, </w:t>
            </w:r>
            <w:r>
              <w:rPr>
                <w:sz w:val="24"/>
                <w:szCs w:val="24"/>
                <w:lang w:val="en-GB" w:eastAsia="en-AU"/>
              </w:rPr>
              <w:t xml:space="preserve">Ms M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877E21" w14:textId="77777777" w:rsidR="005E4B61" w:rsidRDefault="005E4B61" w:rsidP="00F34B90">
            <w:pPr>
              <w:spacing w:before="120" w:line="240" w:lineRule="auto"/>
              <w:jc w:val="center"/>
              <w:rPr>
                <w:rFonts w:eastAsiaTheme="minorHAnsi"/>
                <w:sz w:val="24"/>
                <w:szCs w:val="24"/>
                <w:lang w:val="en-GB" w:eastAsia="en-AU"/>
              </w:rPr>
            </w:pPr>
            <w:r>
              <w:rPr>
                <w:sz w:val="24"/>
                <w:szCs w:val="24"/>
                <w:lang w:val="en-GB" w:eastAsia="en-AU"/>
              </w:rPr>
              <w:t>06/05/20</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FE6877" w14:textId="77777777" w:rsidR="005E4B61" w:rsidRDefault="005E4B61" w:rsidP="00F34B90">
            <w:pPr>
              <w:spacing w:before="120" w:line="240" w:lineRule="auto"/>
              <w:rPr>
                <w:rFonts w:eastAsiaTheme="minorHAnsi"/>
                <w:sz w:val="24"/>
                <w:szCs w:val="24"/>
                <w:lang w:val="en-GB" w:eastAsia="en-AU"/>
              </w:rPr>
            </w:pPr>
            <w:r>
              <w:rPr>
                <w:sz w:val="24"/>
                <w:szCs w:val="24"/>
                <w:lang w:val="en-GB" w:eastAsia="en-AU"/>
              </w:rPr>
              <w:t>Planning</w:t>
            </w:r>
          </w:p>
        </w:tc>
      </w:tr>
    </w:tbl>
    <w:p w14:paraId="4EB63CAE" w14:textId="77777777" w:rsidR="005E4B61" w:rsidRDefault="005E4B61" w:rsidP="008337D5">
      <w:pPr>
        <w:rPr>
          <w:shd w:val="clear" w:color="auto" w:fill="FFFFFF"/>
        </w:rPr>
      </w:pPr>
    </w:p>
    <w:p w14:paraId="4042C4D0" w14:textId="77777777" w:rsidR="005E4B61" w:rsidRDefault="005E4B61">
      <w:pPr>
        <w:spacing w:after="0" w:line="240" w:lineRule="auto"/>
        <w:rPr>
          <w:shd w:val="clear" w:color="auto" w:fill="FFFFFF"/>
        </w:rPr>
      </w:pPr>
      <w:r>
        <w:rPr>
          <w:shd w:val="clear" w:color="auto" w:fill="FFFFFF"/>
        </w:rPr>
        <w:br w:type="page"/>
      </w:r>
    </w:p>
    <w:p w14:paraId="7FB861E9" w14:textId="77777777" w:rsidR="002D76C1" w:rsidRPr="002D76C1" w:rsidRDefault="002D76C1" w:rsidP="00C37155">
      <w:pPr>
        <w:pStyle w:val="Heading1"/>
        <w:spacing w:after="240"/>
        <w:ind w:left="567" w:hanging="567"/>
        <w:rPr>
          <w:rFonts w:ascii="Gill Sans MT" w:hAnsi="Gill Sans MT"/>
          <w:sz w:val="32"/>
          <w:shd w:val="clear" w:color="auto" w:fill="FFFFFF"/>
        </w:rPr>
      </w:pPr>
      <w:bookmarkStart w:id="13" w:name="_Toc495485025"/>
      <w:r>
        <w:rPr>
          <w:rFonts w:ascii="Gill Sans MT" w:hAnsi="Gill Sans MT"/>
          <w:sz w:val="32"/>
          <w:shd w:val="clear" w:color="auto" w:fill="FFFFFF"/>
        </w:rPr>
        <w:lastRenderedPageBreak/>
        <w:t>Activity</w:t>
      </w:r>
      <w:bookmarkEnd w:id="13"/>
      <w:r>
        <w:rPr>
          <w:rFonts w:ascii="Gill Sans MT" w:hAnsi="Gill Sans MT"/>
          <w:sz w:val="32"/>
          <w:shd w:val="clear" w:color="auto" w:fill="FFFFFF"/>
        </w:rPr>
        <w:t xml:space="preserve"> </w:t>
      </w:r>
    </w:p>
    <w:p w14:paraId="5F9130B0" w14:textId="6EF12929" w:rsidR="00C37155" w:rsidRDefault="00C37155" w:rsidP="00C37155">
      <w:pPr>
        <w:spacing w:before="120" w:line="240" w:lineRule="auto"/>
        <w:ind w:left="567"/>
        <w:jc w:val="both"/>
        <w:rPr>
          <w:rFonts w:eastAsia="Times New Roman" w:cs="Arial"/>
          <w:sz w:val="24"/>
          <w:szCs w:val="24"/>
          <w:lang w:eastAsia="en-AU"/>
        </w:rPr>
      </w:pPr>
      <w:r w:rsidRPr="00C36CF6">
        <w:rPr>
          <w:rFonts w:eastAsia="Times New Roman" w:cs="Arial"/>
          <w:sz w:val="24"/>
          <w:szCs w:val="24"/>
          <w:lang w:eastAsia="en-AU"/>
        </w:rPr>
        <w:t xml:space="preserve">Appeals from planning authorities constituted the majority of the Tribunal’s work this year.  </w:t>
      </w:r>
      <w:r w:rsidRPr="00245A1D">
        <w:rPr>
          <w:rFonts w:cs="Arial"/>
          <w:sz w:val="24"/>
          <w:szCs w:val="24"/>
        </w:rPr>
        <w:t xml:space="preserve">Set out </w:t>
      </w:r>
      <w:r>
        <w:rPr>
          <w:rFonts w:cs="Arial"/>
          <w:sz w:val="24"/>
          <w:szCs w:val="24"/>
        </w:rPr>
        <w:t>in</w:t>
      </w:r>
      <w:r w:rsidRPr="00245A1D">
        <w:rPr>
          <w:rFonts w:cs="Arial"/>
          <w:sz w:val="24"/>
          <w:szCs w:val="24"/>
        </w:rPr>
        <w:t xml:space="preserve"> Table 2</w:t>
      </w:r>
      <w:r>
        <w:rPr>
          <w:rFonts w:cs="Arial"/>
          <w:sz w:val="24"/>
          <w:szCs w:val="24"/>
        </w:rPr>
        <w:t xml:space="preserve"> is</w:t>
      </w:r>
      <w:r w:rsidRPr="00245A1D">
        <w:rPr>
          <w:rFonts w:cs="Arial"/>
          <w:sz w:val="24"/>
          <w:szCs w:val="24"/>
        </w:rPr>
        <w:t xml:space="preserve"> the number</w:t>
      </w:r>
      <w:r>
        <w:rPr>
          <w:rFonts w:cs="Arial"/>
          <w:sz w:val="24"/>
          <w:szCs w:val="24"/>
        </w:rPr>
        <w:t xml:space="preserve"> and types of appeal</w:t>
      </w:r>
      <w:r w:rsidRPr="00245A1D">
        <w:rPr>
          <w:rFonts w:cs="Arial"/>
          <w:sz w:val="24"/>
          <w:szCs w:val="24"/>
        </w:rPr>
        <w:t xml:space="preserve"> and applications dealt with by the Tribunal in the year the subject of this report</w:t>
      </w:r>
      <w:r w:rsidRPr="005D4201">
        <w:rPr>
          <w:rFonts w:cs="Arial"/>
          <w:sz w:val="24"/>
          <w:szCs w:val="24"/>
        </w:rPr>
        <w:t xml:space="preserve">.   It will be noted that the Tribunal has assumed responsibility for appeals under the </w:t>
      </w:r>
      <w:r w:rsidR="00EF743D">
        <w:rPr>
          <w:rFonts w:cs="Arial"/>
          <w:sz w:val="24"/>
          <w:szCs w:val="24"/>
        </w:rPr>
        <w:t xml:space="preserve">both the </w:t>
      </w:r>
      <w:r w:rsidRPr="005D4201">
        <w:rPr>
          <w:rFonts w:cs="Arial"/>
          <w:i/>
          <w:sz w:val="24"/>
          <w:szCs w:val="24"/>
        </w:rPr>
        <w:t>Building Act 2000</w:t>
      </w:r>
      <w:r w:rsidR="00EF743D">
        <w:rPr>
          <w:rFonts w:cs="Arial"/>
          <w:i/>
          <w:sz w:val="24"/>
          <w:szCs w:val="24"/>
        </w:rPr>
        <w:t xml:space="preserve"> </w:t>
      </w:r>
      <w:r w:rsidRPr="005D4201">
        <w:rPr>
          <w:rFonts w:cs="Arial"/>
          <w:sz w:val="24"/>
          <w:szCs w:val="24"/>
        </w:rPr>
        <w:t xml:space="preserve"> </w:t>
      </w:r>
      <w:r w:rsidR="00EF743D">
        <w:rPr>
          <w:rFonts w:cs="Arial"/>
          <w:sz w:val="24"/>
          <w:szCs w:val="24"/>
        </w:rPr>
        <w:t xml:space="preserve">and the </w:t>
      </w:r>
      <w:r w:rsidR="00EF743D">
        <w:rPr>
          <w:rFonts w:cs="Arial"/>
          <w:i/>
          <w:sz w:val="24"/>
          <w:szCs w:val="24"/>
        </w:rPr>
        <w:t xml:space="preserve">Building Act 2016 </w:t>
      </w:r>
      <w:r w:rsidRPr="005D4201">
        <w:rPr>
          <w:rFonts w:cs="Arial"/>
          <w:sz w:val="24"/>
          <w:szCs w:val="24"/>
        </w:rPr>
        <w:t xml:space="preserve">and </w:t>
      </w:r>
      <w:r w:rsidR="00EF743D">
        <w:rPr>
          <w:rFonts w:cs="Arial"/>
          <w:sz w:val="24"/>
          <w:szCs w:val="24"/>
        </w:rPr>
        <w:t>10</w:t>
      </w:r>
      <w:r w:rsidRPr="005D4201">
        <w:rPr>
          <w:rFonts w:cs="Arial"/>
          <w:sz w:val="24"/>
          <w:szCs w:val="24"/>
        </w:rPr>
        <w:t xml:space="preserve"> matters came</w:t>
      </w:r>
      <w:r w:rsidRPr="00245A1D">
        <w:rPr>
          <w:rFonts w:cs="Arial"/>
          <w:sz w:val="24"/>
          <w:szCs w:val="24"/>
        </w:rPr>
        <w:t xml:space="preserve"> before the Tribunal in that category.  Whilst there was an overall decline in the number of matters dealt with by the Tribunal in the year the subject of this report, there has been an increase in the number of </w:t>
      </w:r>
      <w:r>
        <w:rPr>
          <w:rFonts w:cs="Arial"/>
          <w:sz w:val="24"/>
          <w:szCs w:val="24"/>
        </w:rPr>
        <w:t xml:space="preserve">longer and more </w:t>
      </w:r>
      <w:r w:rsidRPr="00245A1D">
        <w:rPr>
          <w:rFonts w:cs="Arial"/>
          <w:sz w:val="24"/>
          <w:szCs w:val="24"/>
        </w:rPr>
        <w:t>complex appeals</w:t>
      </w:r>
      <w:r>
        <w:rPr>
          <w:rFonts w:cs="Arial"/>
          <w:sz w:val="24"/>
          <w:szCs w:val="24"/>
        </w:rPr>
        <w:t xml:space="preserve">. </w:t>
      </w:r>
    </w:p>
    <w:tbl>
      <w:tblPr>
        <w:tblW w:w="9987" w:type="dxa"/>
        <w:tblInd w:w="93" w:type="dxa"/>
        <w:tblLook w:val="04A0" w:firstRow="1" w:lastRow="0" w:firstColumn="1" w:lastColumn="0" w:noHBand="0" w:noVBand="1"/>
      </w:tblPr>
      <w:tblGrid>
        <w:gridCol w:w="2459"/>
        <w:gridCol w:w="941"/>
        <w:gridCol w:w="941"/>
        <w:gridCol w:w="941"/>
        <w:gridCol w:w="941"/>
        <w:gridCol w:w="941"/>
        <w:gridCol w:w="941"/>
        <w:gridCol w:w="941"/>
        <w:gridCol w:w="941"/>
      </w:tblGrid>
      <w:tr w:rsidR="00BC3B05" w:rsidRPr="00C45AA1" w14:paraId="555E710A" w14:textId="77777777" w:rsidTr="00217200">
        <w:trPr>
          <w:trHeight w:val="330"/>
        </w:trPr>
        <w:tc>
          <w:tcPr>
            <w:tcW w:w="2459" w:type="dxa"/>
            <w:tcBorders>
              <w:top w:val="nil"/>
              <w:bottom w:val="nil"/>
              <w:right w:val="nil"/>
            </w:tcBorders>
            <w:shd w:val="clear" w:color="auto" w:fill="auto"/>
            <w:noWrap/>
            <w:vAlign w:val="center"/>
            <w:hideMark/>
          </w:tcPr>
          <w:p w14:paraId="6005B251" w14:textId="77777777" w:rsidR="00BC3B05" w:rsidRPr="00C45AA1" w:rsidRDefault="0011727C" w:rsidP="00BA1F5A">
            <w:pPr>
              <w:spacing w:before="120" w:line="240" w:lineRule="auto"/>
              <w:rPr>
                <w:rFonts w:eastAsia="Times New Roman" w:cs="Arial"/>
                <w:b/>
                <w:bCs/>
                <w:color w:val="000000"/>
                <w:sz w:val="20"/>
                <w:szCs w:val="20"/>
                <w:lang w:eastAsia="en-AU"/>
              </w:rPr>
            </w:pPr>
            <w:r>
              <w:rPr>
                <w:rFonts w:eastAsia="Times New Roman" w:cs="Arial"/>
                <w:b/>
                <w:bCs/>
                <w:color w:val="000000"/>
                <w:sz w:val="20"/>
                <w:szCs w:val="20"/>
                <w:lang w:eastAsia="en-AU"/>
              </w:rPr>
              <w:t>TABLE 2</w:t>
            </w:r>
          </w:p>
        </w:tc>
        <w:tc>
          <w:tcPr>
            <w:tcW w:w="941" w:type="dxa"/>
            <w:tcBorders>
              <w:top w:val="nil"/>
              <w:left w:val="nil"/>
              <w:bottom w:val="nil"/>
              <w:right w:val="nil"/>
            </w:tcBorders>
            <w:shd w:val="clear" w:color="auto" w:fill="auto"/>
            <w:noWrap/>
            <w:vAlign w:val="bottom"/>
            <w:hideMark/>
          </w:tcPr>
          <w:p w14:paraId="5596BA38" w14:textId="77777777" w:rsidR="00BC3B05" w:rsidRPr="00C45AA1" w:rsidRDefault="00BC3B05" w:rsidP="00BA1F5A">
            <w:pPr>
              <w:spacing w:before="120" w:line="240" w:lineRule="auto"/>
              <w:rPr>
                <w:rFonts w:eastAsia="Times New Roman" w:cs="Arial"/>
                <w:color w:val="000000"/>
                <w:sz w:val="20"/>
                <w:szCs w:val="20"/>
                <w:lang w:eastAsia="en-AU"/>
              </w:rPr>
            </w:pPr>
          </w:p>
        </w:tc>
        <w:tc>
          <w:tcPr>
            <w:tcW w:w="941" w:type="dxa"/>
            <w:tcBorders>
              <w:top w:val="nil"/>
              <w:left w:val="nil"/>
              <w:bottom w:val="nil"/>
              <w:right w:val="nil"/>
            </w:tcBorders>
            <w:shd w:val="clear" w:color="auto" w:fill="auto"/>
            <w:noWrap/>
            <w:vAlign w:val="bottom"/>
            <w:hideMark/>
          </w:tcPr>
          <w:p w14:paraId="1272ECA9" w14:textId="77777777" w:rsidR="00BC3B05" w:rsidRPr="00C45AA1" w:rsidRDefault="00BC3B05" w:rsidP="00BA1F5A">
            <w:pPr>
              <w:spacing w:before="120" w:line="240" w:lineRule="auto"/>
              <w:rPr>
                <w:rFonts w:eastAsia="Times New Roman" w:cs="Arial"/>
                <w:color w:val="000000"/>
                <w:sz w:val="20"/>
                <w:szCs w:val="20"/>
                <w:lang w:eastAsia="en-AU"/>
              </w:rPr>
            </w:pPr>
          </w:p>
        </w:tc>
        <w:tc>
          <w:tcPr>
            <w:tcW w:w="941" w:type="dxa"/>
            <w:tcBorders>
              <w:top w:val="nil"/>
              <w:left w:val="nil"/>
              <w:bottom w:val="nil"/>
              <w:right w:val="nil"/>
            </w:tcBorders>
            <w:shd w:val="clear" w:color="auto" w:fill="auto"/>
            <w:noWrap/>
            <w:vAlign w:val="bottom"/>
            <w:hideMark/>
          </w:tcPr>
          <w:p w14:paraId="5DEDBB9A" w14:textId="77777777" w:rsidR="00BC3B05" w:rsidRPr="00C45AA1" w:rsidRDefault="00BC3B05" w:rsidP="00BA1F5A">
            <w:pPr>
              <w:spacing w:before="120" w:line="240" w:lineRule="auto"/>
              <w:rPr>
                <w:rFonts w:eastAsia="Times New Roman" w:cs="Arial"/>
                <w:color w:val="000000"/>
                <w:sz w:val="20"/>
                <w:szCs w:val="20"/>
                <w:lang w:eastAsia="en-AU"/>
              </w:rPr>
            </w:pPr>
          </w:p>
        </w:tc>
        <w:tc>
          <w:tcPr>
            <w:tcW w:w="941" w:type="dxa"/>
            <w:tcBorders>
              <w:top w:val="nil"/>
              <w:left w:val="nil"/>
              <w:bottom w:val="nil"/>
              <w:right w:val="nil"/>
            </w:tcBorders>
            <w:shd w:val="clear" w:color="auto" w:fill="auto"/>
            <w:noWrap/>
            <w:vAlign w:val="bottom"/>
            <w:hideMark/>
          </w:tcPr>
          <w:p w14:paraId="0442E33B" w14:textId="77777777" w:rsidR="00BC3B05" w:rsidRPr="00C45AA1" w:rsidRDefault="00BC3B05" w:rsidP="00BA1F5A">
            <w:pPr>
              <w:spacing w:before="120" w:line="240" w:lineRule="auto"/>
              <w:rPr>
                <w:rFonts w:eastAsia="Times New Roman" w:cs="Arial"/>
                <w:color w:val="000000"/>
                <w:sz w:val="20"/>
                <w:szCs w:val="20"/>
                <w:lang w:eastAsia="en-AU"/>
              </w:rPr>
            </w:pPr>
          </w:p>
        </w:tc>
        <w:tc>
          <w:tcPr>
            <w:tcW w:w="941" w:type="dxa"/>
            <w:tcBorders>
              <w:top w:val="nil"/>
              <w:left w:val="nil"/>
              <w:bottom w:val="nil"/>
              <w:right w:val="nil"/>
            </w:tcBorders>
            <w:shd w:val="clear" w:color="auto" w:fill="auto"/>
            <w:noWrap/>
            <w:vAlign w:val="bottom"/>
            <w:hideMark/>
          </w:tcPr>
          <w:p w14:paraId="15141193" w14:textId="77777777" w:rsidR="00BC3B05" w:rsidRPr="00C45AA1" w:rsidRDefault="00BC3B05" w:rsidP="00BA1F5A">
            <w:pPr>
              <w:spacing w:before="120" w:line="240" w:lineRule="auto"/>
              <w:rPr>
                <w:rFonts w:eastAsia="Times New Roman" w:cs="Arial"/>
                <w:color w:val="000000"/>
                <w:sz w:val="20"/>
                <w:szCs w:val="20"/>
                <w:lang w:eastAsia="en-AU"/>
              </w:rPr>
            </w:pPr>
          </w:p>
        </w:tc>
        <w:tc>
          <w:tcPr>
            <w:tcW w:w="941" w:type="dxa"/>
            <w:tcBorders>
              <w:top w:val="nil"/>
              <w:left w:val="nil"/>
              <w:bottom w:val="nil"/>
              <w:right w:val="nil"/>
            </w:tcBorders>
            <w:shd w:val="clear" w:color="auto" w:fill="auto"/>
            <w:noWrap/>
            <w:vAlign w:val="bottom"/>
            <w:hideMark/>
          </w:tcPr>
          <w:p w14:paraId="3DF2DE4A" w14:textId="77777777" w:rsidR="00BC3B05" w:rsidRPr="00C45AA1" w:rsidRDefault="00BC3B05" w:rsidP="00BA1F5A">
            <w:pPr>
              <w:spacing w:before="120" w:line="240" w:lineRule="auto"/>
              <w:rPr>
                <w:rFonts w:eastAsia="Times New Roman" w:cs="Arial"/>
                <w:color w:val="000000"/>
                <w:sz w:val="20"/>
                <w:szCs w:val="20"/>
                <w:lang w:eastAsia="en-AU"/>
              </w:rPr>
            </w:pPr>
          </w:p>
        </w:tc>
        <w:tc>
          <w:tcPr>
            <w:tcW w:w="941" w:type="dxa"/>
            <w:tcBorders>
              <w:top w:val="nil"/>
              <w:left w:val="nil"/>
              <w:bottom w:val="nil"/>
              <w:right w:val="nil"/>
            </w:tcBorders>
            <w:shd w:val="clear" w:color="auto" w:fill="auto"/>
            <w:noWrap/>
            <w:vAlign w:val="bottom"/>
            <w:hideMark/>
          </w:tcPr>
          <w:p w14:paraId="294684F7" w14:textId="77777777" w:rsidR="00BC3B05" w:rsidRPr="00C45AA1" w:rsidRDefault="00BC3B05" w:rsidP="00BA1F5A">
            <w:pPr>
              <w:spacing w:before="120" w:line="240" w:lineRule="auto"/>
              <w:rPr>
                <w:rFonts w:eastAsia="Times New Roman" w:cs="Arial"/>
                <w:color w:val="000000"/>
                <w:sz w:val="20"/>
                <w:szCs w:val="20"/>
                <w:lang w:eastAsia="en-AU"/>
              </w:rPr>
            </w:pPr>
          </w:p>
        </w:tc>
        <w:tc>
          <w:tcPr>
            <w:tcW w:w="941" w:type="dxa"/>
            <w:tcBorders>
              <w:top w:val="nil"/>
              <w:left w:val="nil"/>
              <w:bottom w:val="nil"/>
              <w:right w:val="nil"/>
            </w:tcBorders>
          </w:tcPr>
          <w:p w14:paraId="1167C788" w14:textId="77777777" w:rsidR="00BC3B05" w:rsidRPr="00C45AA1" w:rsidRDefault="00BC3B05" w:rsidP="00BC3B05">
            <w:pPr>
              <w:spacing w:before="120" w:line="240" w:lineRule="auto"/>
              <w:ind w:left="-83" w:firstLine="83"/>
              <w:rPr>
                <w:rFonts w:eastAsia="Times New Roman" w:cs="Arial"/>
                <w:color w:val="000000"/>
                <w:sz w:val="20"/>
                <w:szCs w:val="20"/>
                <w:lang w:eastAsia="en-AU"/>
              </w:rPr>
            </w:pPr>
          </w:p>
        </w:tc>
      </w:tr>
      <w:tr w:rsidR="00BC3B05" w:rsidRPr="00C45AA1" w14:paraId="027AC2F1" w14:textId="77777777" w:rsidTr="00C80C11">
        <w:trPr>
          <w:trHeight w:val="255"/>
        </w:trPr>
        <w:tc>
          <w:tcPr>
            <w:tcW w:w="2459" w:type="dxa"/>
            <w:tcBorders>
              <w:top w:val="single" w:sz="8" w:space="0" w:color="auto"/>
              <w:left w:val="single" w:sz="12" w:space="0" w:color="auto"/>
              <w:bottom w:val="nil"/>
              <w:right w:val="single" w:sz="8" w:space="0" w:color="auto"/>
            </w:tcBorders>
            <w:shd w:val="clear" w:color="auto" w:fill="7F7F7F" w:themeFill="text1" w:themeFillTint="80"/>
            <w:noWrap/>
            <w:vAlign w:val="center"/>
            <w:hideMark/>
          </w:tcPr>
          <w:p w14:paraId="23237529" w14:textId="77777777" w:rsidR="00BC3B05" w:rsidRPr="00C45AA1" w:rsidRDefault="00BC3B05" w:rsidP="00BA1F5A">
            <w:pPr>
              <w:spacing w:before="120" w:line="240" w:lineRule="auto"/>
              <w:rPr>
                <w:rFonts w:eastAsia="Times New Roman" w:cs="Arial"/>
                <w:b/>
                <w:bCs/>
                <w:color w:val="000000"/>
                <w:sz w:val="20"/>
                <w:szCs w:val="20"/>
                <w:lang w:eastAsia="en-AU"/>
              </w:rPr>
            </w:pPr>
            <w:r w:rsidRPr="00C45AA1">
              <w:rPr>
                <w:rFonts w:eastAsia="Times New Roman" w:cs="Arial"/>
                <w:b/>
                <w:bCs/>
                <w:color w:val="000000"/>
                <w:sz w:val="20"/>
                <w:szCs w:val="20"/>
                <w:lang w:eastAsia="en-AU"/>
              </w:rPr>
              <w:t>Appeals By Legislations</w:t>
            </w:r>
          </w:p>
        </w:tc>
        <w:tc>
          <w:tcPr>
            <w:tcW w:w="941" w:type="dxa"/>
            <w:tcBorders>
              <w:top w:val="single" w:sz="8" w:space="0" w:color="auto"/>
              <w:left w:val="nil"/>
              <w:bottom w:val="nil"/>
              <w:right w:val="single" w:sz="8" w:space="0" w:color="auto"/>
            </w:tcBorders>
            <w:shd w:val="clear" w:color="auto" w:fill="7F7F7F" w:themeFill="text1" w:themeFillTint="80"/>
            <w:noWrap/>
            <w:vAlign w:val="center"/>
            <w:hideMark/>
          </w:tcPr>
          <w:p w14:paraId="22526848" w14:textId="77777777" w:rsidR="00BC3B05" w:rsidRPr="00C45AA1" w:rsidRDefault="00BC3B05" w:rsidP="00BA1F5A">
            <w:pPr>
              <w:spacing w:before="120" w:line="240" w:lineRule="auto"/>
              <w:jc w:val="center"/>
              <w:rPr>
                <w:rFonts w:eastAsia="Times New Roman" w:cs="Arial"/>
                <w:b/>
                <w:bCs/>
                <w:color w:val="000000"/>
                <w:sz w:val="20"/>
                <w:szCs w:val="20"/>
                <w:lang w:eastAsia="en-AU"/>
              </w:rPr>
            </w:pPr>
            <w:r w:rsidRPr="00C45AA1">
              <w:rPr>
                <w:rFonts w:eastAsia="Times New Roman" w:cs="Arial"/>
                <w:b/>
                <w:bCs/>
                <w:color w:val="000000"/>
                <w:sz w:val="20"/>
                <w:szCs w:val="20"/>
                <w:lang w:eastAsia="en-AU"/>
              </w:rPr>
              <w:t>2009-10</w:t>
            </w:r>
          </w:p>
        </w:tc>
        <w:tc>
          <w:tcPr>
            <w:tcW w:w="941" w:type="dxa"/>
            <w:tcBorders>
              <w:top w:val="single" w:sz="8" w:space="0" w:color="auto"/>
              <w:left w:val="nil"/>
              <w:bottom w:val="nil"/>
              <w:right w:val="single" w:sz="8" w:space="0" w:color="auto"/>
            </w:tcBorders>
            <w:shd w:val="clear" w:color="auto" w:fill="7F7F7F" w:themeFill="text1" w:themeFillTint="80"/>
            <w:noWrap/>
            <w:vAlign w:val="center"/>
            <w:hideMark/>
          </w:tcPr>
          <w:p w14:paraId="4E776972" w14:textId="77777777" w:rsidR="00BC3B05" w:rsidRPr="00C45AA1" w:rsidRDefault="00BC3B05" w:rsidP="00BA1F5A">
            <w:pPr>
              <w:spacing w:before="120" w:line="240" w:lineRule="auto"/>
              <w:jc w:val="center"/>
              <w:rPr>
                <w:rFonts w:eastAsia="Times New Roman" w:cs="Arial"/>
                <w:b/>
                <w:bCs/>
                <w:color w:val="000000"/>
                <w:sz w:val="20"/>
                <w:szCs w:val="20"/>
                <w:lang w:eastAsia="en-AU"/>
              </w:rPr>
            </w:pPr>
            <w:r w:rsidRPr="00C45AA1">
              <w:rPr>
                <w:rFonts w:eastAsia="Times New Roman" w:cs="Arial"/>
                <w:b/>
                <w:bCs/>
                <w:color w:val="000000"/>
                <w:sz w:val="20"/>
                <w:szCs w:val="20"/>
                <w:lang w:eastAsia="en-AU"/>
              </w:rPr>
              <w:t>2010-11</w:t>
            </w:r>
          </w:p>
        </w:tc>
        <w:tc>
          <w:tcPr>
            <w:tcW w:w="941" w:type="dxa"/>
            <w:tcBorders>
              <w:top w:val="single" w:sz="8" w:space="0" w:color="auto"/>
              <w:left w:val="nil"/>
              <w:bottom w:val="nil"/>
              <w:right w:val="single" w:sz="8" w:space="0" w:color="auto"/>
            </w:tcBorders>
            <w:shd w:val="clear" w:color="auto" w:fill="7F7F7F" w:themeFill="text1" w:themeFillTint="80"/>
            <w:noWrap/>
            <w:vAlign w:val="center"/>
            <w:hideMark/>
          </w:tcPr>
          <w:p w14:paraId="56152BB4" w14:textId="77777777" w:rsidR="00BC3B05" w:rsidRPr="00C45AA1" w:rsidRDefault="00BC3B05" w:rsidP="00BA1F5A">
            <w:pPr>
              <w:spacing w:before="120" w:line="240" w:lineRule="auto"/>
              <w:jc w:val="center"/>
              <w:rPr>
                <w:rFonts w:eastAsia="Times New Roman" w:cs="Arial"/>
                <w:b/>
                <w:bCs/>
                <w:color w:val="000000"/>
                <w:sz w:val="20"/>
                <w:szCs w:val="20"/>
                <w:lang w:eastAsia="en-AU"/>
              </w:rPr>
            </w:pPr>
            <w:r w:rsidRPr="00C45AA1">
              <w:rPr>
                <w:rFonts w:eastAsia="Times New Roman" w:cs="Arial"/>
                <w:b/>
                <w:bCs/>
                <w:color w:val="000000"/>
                <w:sz w:val="20"/>
                <w:szCs w:val="20"/>
                <w:lang w:eastAsia="en-AU"/>
              </w:rPr>
              <w:t>2011-12</w:t>
            </w:r>
          </w:p>
        </w:tc>
        <w:tc>
          <w:tcPr>
            <w:tcW w:w="941" w:type="dxa"/>
            <w:tcBorders>
              <w:top w:val="single" w:sz="8" w:space="0" w:color="auto"/>
              <w:left w:val="nil"/>
              <w:bottom w:val="nil"/>
              <w:right w:val="single" w:sz="8" w:space="0" w:color="auto"/>
            </w:tcBorders>
            <w:shd w:val="clear" w:color="auto" w:fill="7F7F7F" w:themeFill="text1" w:themeFillTint="80"/>
            <w:vAlign w:val="center"/>
            <w:hideMark/>
          </w:tcPr>
          <w:p w14:paraId="053A8ACF" w14:textId="77777777" w:rsidR="00BC3B05" w:rsidRPr="00C45AA1" w:rsidRDefault="00BC3B05" w:rsidP="00BA1F5A">
            <w:pPr>
              <w:spacing w:before="120" w:line="240" w:lineRule="auto"/>
              <w:jc w:val="center"/>
              <w:rPr>
                <w:rFonts w:eastAsia="Times New Roman" w:cs="Arial"/>
                <w:b/>
                <w:bCs/>
                <w:color w:val="000000"/>
                <w:sz w:val="20"/>
                <w:szCs w:val="20"/>
                <w:lang w:eastAsia="en-AU"/>
              </w:rPr>
            </w:pPr>
            <w:r w:rsidRPr="00C45AA1">
              <w:rPr>
                <w:rFonts w:eastAsia="Times New Roman" w:cs="Arial"/>
                <w:b/>
                <w:bCs/>
                <w:color w:val="000000"/>
                <w:sz w:val="20"/>
                <w:szCs w:val="20"/>
                <w:lang w:eastAsia="en-AU"/>
              </w:rPr>
              <w:t>2012-13</w:t>
            </w:r>
          </w:p>
        </w:tc>
        <w:tc>
          <w:tcPr>
            <w:tcW w:w="941" w:type="dxa"/>
            <w:tcBorders>
              <w:top w:val="single" w:sz="8" w:space="0" w:color="auto"/>
              <w:left w:val="nil"/>
              <w:bottom w:val="nil"/>
              <w:right w:val="single" w:sz="8" w:space="0" w:color="auto"/>
            </w:tcBorders>
            <w:shd w:val="clear" w:color="auto" w:fill="7F7F7F" w:themeFill="text1" w:themeFillTint="80"/>
            <w:vAlign w:val="center"/>
            <w:hideMark/>
          </w:tcPr>
          <w:p w14:paraId="31EBE8B0" w14:textId="77777777" w:rsidR="00BC3B05" w:rsidRPr="00C45AA1" w:rsidRDefault="00BC3B05" w:rsidP="00BA1F5A">
            <w:pPr>
              <w:spacing w:before="120" w:line="240" w:lineRule="auto"/>
              <w:jc w:val="center"/>
              <w:rPr>
                <w:rFonts w:eastAsia="Times New Roman" w:cs="Arial"/>
                <w:b/>
                <w:bCs/>
                <w:color w:val="000000"/>
                <w:sz w:val="20"/>
                <w:szCs w:val="20"/>
                <w:lang w:eastAsia="en-AU"/>
              </w:rPr>
            </w:pPr>
            <w:r w:rsidRPr="00C45AA1">
              <w:rPr>
                <w:rFonts w:eastAsia="Times New Roman" w:cs="Arial"/>
                <w:b/>
                <w:bCs/>
                <w:color w:val="000000"/>
                <w:sz w:val="20"/>
                <w:szCs w:val="20"/>
                <w:lang w:eastAsia="en-AU"/>
              </w:rPr>
              <w:t>2013-14</w:t>
            </w:r>
          </w:p>
        </w:tc>
        <w:tc>
          <w:tcPr>
            <w:tcW w:w="941" w:type="dxa"/>
            <w:tcBorders>
              <w:top w:val="single" w:sz="8" w:space="0" w:color="auto"/>
              <w:left w:val="nil"/>
              <w:bottom w:val="nil"/>
              <w:right w:val="single" w:sz="8" w:space="0" w:color="auto"/>
            </w:tcBorders>
            <w:shd w:val="clear" w:color="auto" w:fill="7F7F7F" w:themeFill="text1" w:themeFillTint="80"/>
            <w:vAlign w:val="center"/>
            <w:hideMark/>
          </w:tcPr>
          <w:p w14:paraId="424A7856" w14:textId="77777777" w:rsidR="00BC3B05" w:rsidRPr="00C45AA1" w:rsidRDefault="00BC3B05" w:rsidP="00BA1F5A">
            <w:pPr>
              <w:spacing w:before="120" w:line="240" w:lineRule="auto"/>
              <w:jc w:val="center"/>
              <w:rPr>
                <w:rFonts w:eastAsia="Times New Roman" w:cs="Arial"/>
                <w:b/>
                <w:bCs/>
                <w:color w:val="000000"/>
                <w:sz w:val="20"/>
                <w:szCs w:val="20"/>
                <w:lang w:eastAsia="en-AU"/>
              </w:rPr>
            </w:pPr>
            <w:r w:rsidRPr="00C45AA1">
              <w:rPr>
                <w:rFonts w:eastAsia="Times New Roman" w:cs="Arial"/>
                <w:b/>
                <w:bCs/>
                <w:color w:val="000000"/>
                <w:sz w:val="20"/>
                <w:szCs w:val="20"/>
                <w:lang w:eastAsia="en-AU"/>
              </w:rPr>
              <w:t>2014-15</w:t>
            </w:r>
          </w:p>
        </w:tc>
        <w:tc>
          <w:tcPr>
            <w:tcW w:w="941" w:type="dxa"/>
            <w:tcBorders>
              <w:top w:val="single" w:sz="8" w:space="0" w:color="auto"/>
              <w:left w:val="nil"/>
              <w:bottom w:val="nil"/>
              <w:right w:val="single" w:sz="8" w:space="0" w:color="auto"/>
            </w:tcBorders>
            <w:shd w:val="clear" w:color="auto" w:fill="7F7F7F" w:themeFill="text1" w:themeFillTint="80"/>
            <w:vAlign w:val="center"/>
            <w:hideMark/>
          </w:tcPr>
          <w:p w14:paraId="3DF75143" w14:textId="77777777" w:rsidR="00BC3B05" w:rsidRPr="00C45AA1" w:rsidRDefault="00BC3B05" w:rsidP="00BA1F5A">
            <w:pPr>
              <w:spacing w:before="120" w:line="240" w:lineRule="auto"/>
              <w:jc w:val="center"/>
              <w:rPr>
                <w:rFonts w:eastAsia="Times New Roman" w:cs="Arial"/>
                <w:b/>
                <w:bCs/>
                <w:color w:val="000000"/>
                <w:sz w:val="20"/>
                <w:szCs w:val="20"/>
                <w:lang w:eastAsia="en-AU"/>
              </w:rPr>
            </w:pPr>
            <w:r w:rsidRPr="00C45AA1">
              <w:rPr>
                <w:rFonts w:eastAsia="Times New Roman" w:cs="Arial"/>
                <w:b/>
                <w:bCs/>
                <w:color w:val="000000"/>
                <w:sz w:val="20"/>
                <w:szCs w:val="20"/>
                <w:lang w:eastAsia="en-AU"/>
              </w:rPr>
              <w:t>2015-16</w:t>
            </w:r>
          </w:p>
        </w:tc>
        <w:tc>
          <w:tcPr>
            <w:tcW w:w="941" w:type="dxa"/>
            <w:tcBorders>
              <w:top w:val="single" w:sz="8" w:space="0" w:color="auto"/>
              <w:left w:val="nil"/>
              <w:bottom w:val="nil"/>
              <w:right w:val="single" w:sz="8" w:space="0" w:color="auto"/>
            </w:tcBorders>
            <w:shd w:val="clear" w:color="auto" w:fill="7F7F7F" w:themeFill="text1" w:themeFillTint="80"/>
          </w:tcPr>
          <w:p w14:paraId="53F53EE5" w14:textId="77777777" w:rsidR="00BC3B05" w:rsidRPr="00C45AA1" w:rsidRDefault="00FD1A09" w:rsidP="00BC3B05">
            <w:pPr>
              <w:spacing w:before="120" w:line="240" w:lineRule="auto"/>
              <w:ind w:left="-83" w:firstLine="83"/>
              <w:jc w:val="center"/>
              <w:rPr>
                <w:rFonts w:eastAsia="Times New Roman" w:cs="Arial"/>
                <w:b/>
                <w:bCs/>
                <w:color w:val="000000"/>
                <w:sz w:val="20"/>
                <w:szCs w:val="20"/>
                <w:lang w:eastAsia="en-AU"/>
              </w:rPr>
            </w:pPr>
            <w:r>
              <w:rPr>
                <w:rFonts w:eastAsia="Times New Roman" w:cs="Arial"/>
                <w:b/>
                <w:bCs/>
                <w:color w:val="000000"/>
                <w:sz w:val="20"/>
                <w:szCs w:val="20"/>
                <w:lang w:eastAsia="en-AU"/>
              </w:rPr>
              <w:t>2016-17</w:t>
            </w:r>
          </w:p>
        </w:tc>
      </w:tr>
      <w:tr w:rsidR="00BC3B05" w:rsidRPr="00C45AA1" w14:paraId="4BC9472E" w14:textId="77777777" w:rsidTr="00C80C11">
        <w:trPr>
          <w:trHeight w:val="270"/>
        </w:trPr>
        <w:tc>
          <w:tcPr>
            <w:tcW w:w="2459" w:type="dxa"/>
            <w:tcBorders>
              <w:top w:val="nil"/>
              <w:left w:val="single" w:sz="12" w:space="0" w:color="auto"/>
              <w:bottom w:val="single" w:sz="8" w:space="0" w:color="auto"/>
              <w:right w:val="single" w:sz="8" w:space="0" w:color="auto"/>
            </w:tcBorders>
            <w:shd w:val="clear" w:color="auto" w:fill="auto"/>
            <w:noWrap/>
            <w:vAlign w:val="center"/>
            <w:hideMark/>
          </w:tcPr>
          <w:p w14:paraId="3A9552AB"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LUPAA</w:t>
            </w:r>
          </w:p>
        </w:tc>
        <w:tc>
          <w:tcPr>
            <w:tcW w:w="941" w:type="dxa"/>
            <w:tcBorders>
              <w:top w:val="nil"/>
              <w:left w:val="nil"/>
              <w:bottom w:val="single" w:sz="8" w:space="0" w:color="auto"/>
              <w:right w:val="single" w:sz="8" w:space="0" w:color="auto"/>
            </w:tcBorders>
            <w:shd w:val="clear" w:color="auto" w:fill="auto"/>
            <w:noWrap/>
            <w:vAlign w:val="center"/>
            <w:hideMark/>
          </w:tcPr>
          <w:p w14:paraId="0D915008"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270</w:t>
            </w:r>
          </w:p>
        </w:tc>
        <w:tc>
          <w:tcPr>
            <w:tcW w:w="941" w:type="dxa"/>
            <w:tcBorders>
              <w:top w:val="nil"/>
              <w:left w:val="nil"/>
              <w:bottom w:val="single" w:sz="8" w:space="0" w:color="auto"/>
              <w:right w:val="single" w:sz="8" w:space="0" w:color="auto"/>
            </w:tcBorders>
            <w:shd w:val="clear" w:color="auto" w:fill="auto"/>
            <w:noWrap/>
            <w:vAlign w:val="center"/>
            <w:hideMark/>
          </w:tcPr>
          <w:p w14:paraId="1AB7E839"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266</w:t>
            </w:r>
          </w:p>
        </w:tc>
        <w:tc>
          <w:tcPr>
            <w:tcW w:w="941" w:type="dxa"/>
            <w:tcBorders>
              <w:top w:val="nil"/>
              <w:left w:val="nil"/>
              <w:bottom w:val="single" w:sz="8" w:space="0" w:color="auto"/>
              <w:right w:val="single" w:sz="8" w:space="0" w:color="auto"/>
            </w:tcBorders>
            <w:shd w:val="clear" w:color="auto" w:fill="auto"/>
            <w:noWrap/>
            <w:vAlign w:val="center"/>
            <w:hideMark/>
          </w:tcPr>
          <w:p w14:paraId="1C5497B8"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195</w:t>
            </w:r>
          </w:p>
        </w:tc>
        <w:tc>
          <w:tcPr>
            <w:tcW w:w="941" w:type="dxa"/>
            <w:tcBorders>
              <w:top w:val="nil"/>
              <w:left w:val="nil"/>
              <w:bottom w:val="single" w:sz="8" w:space="0" w:color="auto"/>
              <w:right w:val="single" w:sz="8" w:space="0" w:color="auto"/>
            </w:tcBorders>
            <w:shd w:val="clear" w:color="auto" w:fill="auto"/>
            <w:vAlign w:val="center"/>
            <w:hideMark/>
          </w:tcPr>
          <w:p w14:paraId="744D2C7B"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150</w:t>
            </w:r>
          </w:p>
        </w:tc>
        <w:tc>
          <w:tcPr>
            <w:tcW w:w="941" w:type="dxa"/>
            <w:tcBorders>
              <w:top w:val="nil"/>
              <w:left w:val="nil"/>
              <w:bottom w:val="single" w:sz="8" w:space="0" w:color="auto"/>
              <w:right w:val="single" w:sz="8" w:space="0" w:color="auto"/>
            </w:tcBorders>
            <w:shd w:val="clear" w:color="auto" w:fill="auto"/>
            <w:vAlign w:val="center"/>
            <w:hideMark/>
          </w:tcPr>
          <w:p w14:paraId="4FB06531"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117</w:t>
            </w:r>
          </w:p>
        </w:tc>
        <w:tc>
          <w:tcPr>
            <w:tcW w:w="941" w:type="dxa"/>
            <w:tcBorders>
              <w:top w:val="nil"/>
              <w:left w:val="nil"/>
              <w:bottom w:val="single" w:sz="8" w:space="0" w:color="auto"/>
              <w:right w:val="single" w:sz="8" w:space="0" w:color="auto"/>
            </w:tcBorders>
            <w:shd w:val="clear" w:color="auto" w:fill="auto"/>
            <w:vAlign w:val="center"/>
            <w:hideMark/>
          </w:tcPr>
          <w:p w14:paraId="3D26E20A"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101</w:t>
            </w:r>
          </w:p>
        </w:tc>
        <w:tc>
          <w:tcPr>
            <w:tcW w:w="941" w:type="dxa"/>
            <w:tcBorders>
              <w:top w:val="nil"/>
              <w:left w:val="nil"/>
              <w:bottom w:val="single" w:sz="8" w:space="0" w:color="auto"/>
              <w:right w:val="single" w:sz="8" w:space="0" w:color="auto"/>
            </w:tcBorders>
            <w:shd w:val="clear" w:color="auto" w:fill="auto"/>
            <w:vAlign w:val="center"/>
            <w:hideMark/>
          </w:tcPr>
          <w:p w14:paraId="17BA804A"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119</w:t>
            </w:r>
          </w:p>
        </w:tc>
        <w:tc>
          <w:tcPr>
            <w:tcW w:w="941" w:type="dxa"/>
            <w:tcBorders>
              <w:top w:val="nil"/>
              <w:left w:val="nil"/>
              <w:bottom w:val="single" w:sz="8" w:space="0" w:color="auto"/>
              <w:right w:val="single" w:sz="8" w:space="0" w:color="auto"/>
            </w:tcBorders>
          </w:tcPr>
          <w:p w14:paraId="68D84483" w14:textId="77777777" w:rsidR="00BC3B05" w:rsidRPr="00C45AA1" w:rsidRDefault="00FD1A09" w:rsidP="00BC3B05">
            <w:pPr>
              <w:spacing w:before="120" w:line="240" w:lineRule="auto"/>
              <w:ind w:left="-83" w:firstLine="83"/>
              <w:jc w:val="right"/>
              <w:rPr>
                <w:rFonts w:eastAsia="Times New Roman" w:cs="Arial"/>
                <w:color w:val="000000"/>
                <w:sz w:val="20"/>
                <w:szCs w:val="20"/>
                <w:lang w:eastAsia="en-AU"/>
              </w:rPr>
            </w:pPr>
            <w:r>
              <w:rPr>
                <w:rFonts w:eastAsia="Times New Roman" w:cs="Arial"/>
                <w:color w:val="000000"/>
                <w:sz w:val="20"/>
                <w:szCs w:val="20"/>
                <w:lang w:eastAsia="en-AU"/>
              </w:rPr>
              <w:t>131</w:t>
            </w:r>
          </w:p>
        </w:tc>
      </w:tr>
      <w:tr w:rsidR="00BC3B05" w:rsidRPr="00C45AA1" w14:paraId="3B29FFED" w14:textId="77777777" w:rsidTr="00C80C11">
        <w:trPr>
          <w:trHeight w:val="270"/>
        </w:trPr>
        <w:tc>
          <w:tcPr>
            <w:tcW w:w="2459" w:type="dxa"/>
            <w:tcBorders>
              <w:top w:val="nil"/>
              <w:left w:val="single" w:sz="12" w:space="0" w:color="auto"/>
              <w:bottom w:val="single" w:sz="8" w:space="0" w:color="auto"/>
              <w:right w:val="single" w:sz="8" w:space="0" w:color="auto"/>
            </w:tcBorders>
            <w:shd w:val="clear" w:color="auto" w:fill="auto"/>
            <w:noWrap/>
            <w:vAlign w:val="center"/>
            <w:hideMark/>
          </w:tcPr>
          <w:p w14:paraId="03BC97A4"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Heritage</w:t>
            </w:r>
          </w:p>
        </w:tc>
        <w:tc>
          <w:tcPr>
            <w:tcW w:w="941" w:type="dxa"/>
            <w:tcBorders>
              <w:top w:val="nil"/>
              <w:left w:val="nil"/>
              <w:bottom w:val="single" w:sz="8" w:space="0" w:color="auto"/>
              <w:right w:val="single" w:sz="8" w:space="0" w:color="auto"/>
            </w:tcBorders>
            <w:shd w:val="clear" w:color="auto" w:fill="auto"/>
            <w:noWrap/>
            <w:vAlign w:val="center"/>
            <w:hideMark/>
          </w:tcPr>
          <w:p w14:paraId="75121F94"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19</w:t>
            </w:r>
          </w:p>
        </w:tc>
        <w:tc>
          <w:tcPr>
            <w:tcW w:w="941" w:type="dxa"/>
            <w:tcBorders>
              <w:top w:val="nil"/>
              <w:left w:val="nil"/>
              <w:bottom w:val="single" w:sz="8" w:space="0" w:color="auto"/>
              <w:right w:val="single" w:sz="8" w:space="0" w:color="auto"/>
            </w:tcBorders>
            <w:shd w:val="clear" w:color="auto" w:fill="auto"/>
            <w:noWrap/>
            <w:vAlign w:val="center"/>
            <w:hideMark/>
          </w:tcPr>
          <w:p w14:paraId="53526906"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14</w:t>
            </w:r>
          </w:p>
        </w:tc>
        <w:tc>
          <w:tcPr>
            <w:tcW w:w="941" w:type="dxa"/>
            <w:tcBorders>
              <w:top w:val="nil"/>
              <w:left w:val="nil"/>
              <w:bottom w:val="single" w:sz="8" w:space="0" w:color="auto"/>
              <w:right w:val="single" w:sz="8" w:space="0" w:color="auto"/>
            </w:tcBorders>
            <w:shd w:val="clear" w:color="auto" w:fill="auto"/>
            <w:noWrap/>
            <w:vAlign w:val="center"/>
            <w:hideMark/>
          </w:tcPr>
          <w:p w14:paraId="1B93F98D"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11</w:t>
            </w:r>
          </w:p>
        </w:tc>
        <w:tc>
          <w:tcPr>
            <w:tcW w:w="941" w:type="dxa"/>
            <w:tcBorders>
              <w:top w:val="nil"/>
              <w:left w:val="nil"/>
              <w:bottom w:val="single" w:sz="8" w:space="0" w:color="auto"/>
              <w:right w:val="single" w:sz="8" w:space="0" w:color="auto"/>
            </w:tcBorders>
            <w:shd w:val="clear" w:color="auto" w:fill="auto"/>
            <w:vAlign w:val="center"/>
            <w:hideMark/>
          </w:tcPr>
          <w:p w14:paraId="16D95F0E"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7</w:t>
            </w:r>
          </w:p>
        </w:tc>
        <w:tc>
          <w:tcPr>
            <w:tcW w:w="941" w:type="dxa"/>
            <w:tcBorders>
              <w:top w:val="nil"/>
              <w:left w:val="nil"/>
              <w:bottom w:val="single" w:sz="8" w:space="0" w:color="auto"/>
              <w:right w:val="single" w:sz="8" w:space="0" w:color="auto"/>
            </w:tcBorders>
            <w:shd w:val="clear" w:color="auto" w:fill="auto"/>
            <w:vAlign w:val="center"/>
            <w:hideMark/>
          </w:tcPr>
          <w:p w14:paraId="2C2064D8"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10</w:t>
            </w:r>
          </w:p>
        </w:tc>
        <w:tc>
          <w:tcPr>
            <w:tcW w:w="941" w:type="dxa"/>
            <w:tcBorders>
              <w:top w:val="nil"/>
              <w:left w:val="nil"/>
              <w:bottom w:val="single" w:sz="8" w:space="0" w:color="auto"/>
              <w:right w:val="single" w:sz="8" w:space="0" w:color="auto"/>
            </w:tcBorders>
            <w:shd w:val="clear" w:color="auto" w:fill="auto"/>
            <w:vAlign w:val="center"/>
            <w:hideMark/>
          </w:tcPr>
          <w:p w14:paraId="71C97441" w14:textId="77777777" w:rsidR="00BC3B05" w:rsidRPr="00C45AA1" w:rsidRDefault="00BC3B05" w:rsidP="00BA1F5A">
            <w:pPr>
              <w:spacing w:before="120" w:line="240" w:lineRule="auto"/>
              <w:jc w:val="right"/>
              <w:rPr>
                <w:rFonts w:eastAsia="Times New Roman" w:cs="Arial"/>
                <w:color w:val="000000"/>
                <w:sz w:val="20"/>
                <w:szCs w:val="20"/>
                <w:lang w:eastAsia="en-AU"/>
              </w:rPr>
            </w:pPr>
          </w:p>
        </w:tc>
        <w:tc>
          <w:tcPr>
            <w:tcW w:w="941" w:type="dxa"/>
            <w:tcBorders>
              <w:top w:val="nil"/>
              <w:left w:val="nil"/>
              <w:bottom w:val="single" w:sz="8" w:space="0" w:color="auto"/>
              <w:right w:val="single" w:sz="8" w:space="0" w:color="auto"/>
            </w:tcBorders>
            <w:shd w:val="clear" w:color="auto" w:fill="auto"/>
            <w:vAlign w:val="center"/>
            <w:hideMark/>
          </w:tcPr>
          <w:p w14:paraId="587DCDE2" w14:textId="77777777" w:rsidR="00BC3B05" w:rsidRPr="00C45AA1" w:rsidRDefault="00BC3B05" w:rsidP="00BA1F5A">
            <w:pPr>
              <w:spacing w:before="120" w:line="240" w:lineRule="auto"/>
              <w:jc w:val="right"/>
              <w:rPr>
                <w:rFonts w:eastAsia="Times New Roman" w:cs="Arial"/>
                <w:color w:val="000000"/>
                <w:sz w:val="20"/>
                <w:szCs w:val="20"/>
                <w:lang w:eastAsia="en-AU"/>
              </w:rPr>
            </w:pPr>
          </w:p>
        </w:tc>
        <w:tc>
          <w:tcPr>
            <w:tcW w:w="941" w:type="dxa"/>
            <w:tcBorders>
              <w:top w:val="nil"/>
              <w:left w:val="nil"/>
              <w:bottom w:val="single" w:sz="8" w:space="0" w:color="auto"/>
              <w:right w:val="single" w:sz="8" w:space="0" w:color="auto"/>
            </w:tcBorders>
          </w:tcPr>
          <w:p w14:paraId="6D504312" w14:textId="77777777" w:rsidR="00BC3B05" w:rsidRPr="00C45AA1" w:rsidRDefault="00BC3B05" w:rsidP="00BC3B05">
            <w:pPr>
              <w:spacing w:before="120" w:line="240" w:lineRule="auto"/>
              <w:ind w:left="-83" w:firstLine="83"/>
              <w:jc w:val="right"/>
              <w:rPr>
                <w:rFonts w:eastAsia="Times New Roman" w:cs="Arial"/>
                <w:color w:val="000000"/>
                <w:sz w:val="20"/>
                <w:szCs w:val="20"/>
                <w:lang w:eastAsia="en-AU"/>
              </w:rPr>
            </w:pPr>
          </w:p>
        </w:tc>
      </w:tr>
      <w:tr w:rsidR="00BC3B05" w:rsidRPr="00C45AA1" w14:paraId="13AA17F7" w14:textId="77777777" w:rsidTr="00C80C11">
        <w:trPr>
          <w:trHeight w:val="270"/>
        </w:trPr>
        <w:tc>
          <w:tcPr>
            <w:tcW w:w="2459" w:type="dxa"/>
            <w:tcBorders>
              <w:top w:val="nil"/>
              <w:left w:val="single" w:sz="12" w:space="0" w:color="auto"/>
              <w:bottom w:val="single" w:sz="8" w:space="0" w:color="auto"/>
              <w:right w:val="single" w:sz="8" w:space="0" w:color="auto"/>
            </w:tcBorders>
            <w:shd w:val="clear" w:color="auto" w:fill="auto"/>
            <w:noWrap/>
            <w:vAlign w:val="center"/>
            <w:hideMark/>
          </w:tcPr>
          <w:p w14:paraId="554C00A3"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SOL</w:t>
            </w:r>
          </w:p>
        </w:tc>
        <w:tc>
          <w:tcPr>
            <w:tcW w:w="941" w:type="dxa"/>
            <w:tcBorders>
              <w:top w:val="nil"/>
              <w:left w:val="nil"/>
              <w:bottom w:val="single" w:sz="8" w:space="0" w:color="auto"/>
              <w:right w:val="single" w:sz="8" w:space="0" w:color="auto"/>
            </w:tcBorders>
            <w:shd w:val="clear" w:color="auto" w:fill="auto"/>
            <w:noWrap/>
            <w:vAlign w:val="center"/>
            <w:hideMark/>
          </w:tcPr>
          <w:p w14:paraId="5FC14960"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1528D1C0"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5A037F7A"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w:t>
            </w:r>
          </w:p>
        </w:tc>
        <w:tc>
          <w:tcPr>
            <w:tcW w:w="941" w:type="dxa"/>
            <w:tcBorders>
              <w:top w:val="nil"/>
              <w:left w:val="nil"/>
              <w:bottom w:val="single" w:sz="8" w:space="0" w:color="auto"/>
              <w:right w:val="single" w:sz="8" w:space="0" w:color="auto"/>
            </w:tcBorders>
            <w:shd w:val="clear" w:color="auto" w:fill="auto"/>
            <w:vAlign w:val="center"/>
            <w:hideMark/>
          </w:tcPr>
          <w:p w14:paraId="533E4529"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w:t>
            </w:r>
          </w:p>
        </w:tc>
        <w:tc>
          <w:tcPr>
            <w:tcW w:w="941" w:type="dxa"/>
            <w:tcBorders>
              <w:top w:val="nil"/>
              <w:left w:val="nil"/>
              <w:bottom w:val="single" w:sz="8" w:space="0" w:color="auto"/>
              <w:right w:val="single" w:sz="8" w:space="0" w:color="auto"/>
            </w:tcBorders>
            <w:shd w:val="clear" w:color="auto" w:fill="auto"/>
            <w:vAlign w:val="center"/>
            <w:hideMark/>
          </w:tcPr>
          <w:p w14:paraId="16F00792"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w:t>
            </w:r>
          </w:p>
        </w:tc>
        <w:tc>
          <w:tcPr>
            <w:tcW w:w="941" w:type="dxa"/>
            <w:tcBorders>
              <w:top w:val="nil"/>
              <w:left w:val="nil"/>
              <w:bottom w:val="single" w:sz="8" w:space="0" w:color="auto"/>
              <w:right w:val="single" w:sz="8" w:space="0" w:color="auto"/>
            </w:tcBorders>
            <w:shd w:val="clear" w:color="auto" w:fill="auto"/>
            <w:vAlign w:val="center"/>
            <w:hideMark/>
          </w:tcPr>
          <w:p w14:paraId="115F1F12" w14:textId="77777777" w:rsidR="00BC3B05" w:rsidRPr="00C45AA1" w:rsidRDefault="00BC3B05" w:rsidP="00BA1F5A">
            <w:pPr>
              <w:spacing w:before="120" w:line="240" w:lineRule="auto"/>
              <w:jc w:val="right"/>
              <w:rPr>
                <w:rFonts w:eastAsia="Times New Roman" w:cs="Arial"/>
                <w:color w:val="000000"/>
                <w:sz w:val="20"/>
                <w:szCs w:val="20"/>
                <w:lang w:eastAsia="en-AU"/>
              </w:rPr>
            </w:pPr>
          </w:p>
        </w:tc>
        <w:tc>
          <w:tcPr>
            <w:tcW w:w="941" w:type="dxa"/>
            <w:tcBorders>
              <w:top w:val="nil"/>
              <w:left w:val="nil"/>
              <w:bottom w:val="single" w:sz="8" w:space="0" w:color="auto"/>
              <w:right w:val="single" w:sz="8" w:space="0" w:color="auto"/>
            </w:tcBorders>
            <w:shd w:val="clear" w:color="auto" w:fill="auto"/>
            <w:vAlign w:val="center"/>
            <w:hideMark/>
          </w:tcPr>
          <w:p w14:paraId="09379D68" w14:textId="77777777" w:rsidR="00BC3B05" w:rsidRPr="00C45AA1" w:rsidRDefault="00BC3B05" w:rsidP="00BA1F5A">
            <w:pPr>
              <w:spacing w:before="120" w:line="240" w:lineRule="auto"/>
              <w:jc w:val="right"/>
              <w:rPr>
                <w:rFonts w:eastAsia="Times New Roman" w:cs="Arial"/>
                <w:color w:val="000000"/>
                <w:sz w:val="20"/>
                <w:szCs w:val="20"/>
                <w:lang w:eastAsia="en-AU"/>
              </w:rPr>
            </w:pPr>
          </w:p>
        </w:tc>
        <w:tc>
          <w:tcPr>
            <w:tcW w:w="941" w:type="dxa"/>
            <w:tcBorders>
              <w:top w:val="nil"/>
              <w:left w:val="nil"/>
              <w:bottom w:val="single" w:sz="8" w:space="0" w:color="auto"/>
              <w:right w:val="single" w:sz="8" w:space="0" w:color="auto"/>
            </w:tcBorders>
          </w:tcPr>
          <w:p w14:paraId="359E442C" w14:textId="77777777" w:rsidR="00BC3B05" w:rsidRPr="00C45AA1" w:rsidRDefault="00BC3B05" w:rsidP="00BC3B05">
            <w:pPr>
              <w:spacing w:before="120" w:line="240" w:lineRule="auto"/>
              <w:ind w:left="-83" w:firstLine="83"/>
              <w:jc w:val="right"/>
              <w:rPr>
                <w:rFonts w:eastAsia="Times New Roman" w:cs="Arial"/>
                <w:color w:val="000000"/>
                <w:sz w:val="20"/>
                <w:szCs w:val="20"/>
                <w:lang w:eastAsia="en-AU"/>
              </w:rPr>
            </w:pPr>
          </w:p>
        </w:tc>
      </w:tr>
      <w:tr w:rsidR="00BC3B05" w:rsidRPr="00C45AA1" w14:paraId="6586850F" w14:textId="77777777" w:rsidTr="00C80C11">
        <w:trPr>
          <w:trHeight w:val="270"/>
        </w:trPr>
        <w:tc>
          <w:tcPr>
            <w:tcW w:w="2459" w:type="dxa"/>
            <w:tcBorders>
              <w:top w:val="nil"/>
              <w:left w:val="single" w:sz="12" w:space="0" w:color="auto"/>
              <w:bottom w:val="single" w:sz="8" w:space="0" w:color="auto"/>
              <w:right w:val="single" w:sz="8" w:space="0" w:color="auto"/>
            </w:tcBorders>
            <w:shd w:val="clear" w:color="auto" w:fill="auto"/>
            <w:noWrap/>
            <w:vAlign w:val="center"/>
            <w:hideMark/>
          </w:tcPr>
          <w:p w14:paraId="7F66193F"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Marine</w:t>
            </w:r>
          </w:p>
        </w:tc>
        <w:tc>
          <w:tcPr>
            <w:tcW w:w="941" w:type="dxa"/>
            <w:tcBorders>
              <w:top w:val="nil"/>
              <w:left w:val="nil"/>
              <w:bottom w:val="single" w:sz="8" w:space="0" w:color="auto"/>
              <w:right w:val="single" w:sz="8" w:space="0" w:color="auto"/>
            </w:tcBorders>
            <w:shd w:val="clear" w:color="auto" w:fill="auto"/>
            <w:noWrap/>
            <w:vAlign w:val="center"/>
            <w:hideMark/>
          </w:tcPr>
          <w:p w14:paraId="0AE380C6"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2</w:t>
            </w:r>
          </w:p>
        </w:tc>
        <w:tc>
          <w:tcPr>
            <w:tcW w:w="941" w:type="dxa"/>
            <w:tcBorders>
              <w:top w:val="nil"/>
              <w:left w:val="nil"/>
              <w:bottom w:val="single" w:sz="8" w:space="0" w:color="auto"/>
              <w:right w:val="single" w:sz="8" w:space="0" w:color="auto"/>
            </w:tcBorders>
            <w:shd w:val="clear" w:color="auto" w:fill="auto"/>
            <w:noWrap/>
            <w:vAlign w:val="center"/>
            <w:hideMark/>
          </w:tcPr>
          <w:p w14:paraId="54CFDB35"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3</w:t>
            </w:r>
          </w:p>
        </w:tc>
        <w:tc>
          <w:tcPr>
            <w:tcW w:w="941" w:type="dxa"/>
            <w:tcBorders>
              <w:top w:val="nil"/>
              <w:left w:val="nil"/>
              <w:bottom w:val="single" w:sz="8" w:space="0" w:color="auto"/>
              <w:right w:val="single" w:sz="8" w:space="0" w:color="auto"/>
            </w:tcBorders>
            <w:shd w:val="clear" w:color="auto" w:fill="auto"/>
            <w:noWrap/>
            <w:vAlign w:val="center"/>
            <w:hideMark/>
          </w:tcPr>
          <w:p w14:paraId="451971B2"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7C2B93A6"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4</w:t>
            </w:r>
          </w:p>
        </w:tc>
        <w:tc>
          <w:tcPr>
            <w:tcW w:w="941" w:type="dxa"/>
            <w:tcBorders>
              <w:top w:val="nil"/>
              <w:left w:val="nil"/>
              <w:bottom w:val="single" w:sz="8" w:space="0" w:color="auto"/>
              <w:right w:val="single" w:sz="8" w:space="0" w:color="auto"/>
            </w:tcBorders>
            <w:shd w:val="clear" w:color="auto" w:fill="auto"/>
            <w:vAlign w:val="center"/>
            <w:hideMark/>
          </w:tcPr>
          <w:p w14:paraId="2ECC4D47"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w:t>
            </w:r>
          </w:p>
        </w:tc>
        <w:tc>
          <w:tcPr>
            <w:tcW w:w="941" w:type="dxa"/>
            <w:tcBorders>
              <w:top w:val="nil"/>
              <w:left w:val="nil"/>
              <w:bottom w:val="single" w:sz="8" w:space="0" w:color="auto"/>
              <w:right w:val="single" w:sz="8" w:space="0" w:color="auto"/>
            </w:tcBorders>
            <w:shd w:val="clear" w:color="auto" w:fill="auto"/>
            <w:vAlign w:val="center"/>
            <w:hideMark/>
          </w:tcPr>
          <w:p w14:paraId="6EBD6DF0"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w:t>
            </w:r>
          </w:p>
        </w:tc>
        <w:tc>
          <w:tcPr>
            <w:tcW w:w="941" w:type="dxa"/>
            <w:tcBorders>
              <w:top w:val="nil"/>
              <w:left w:val="nil"/>
              <w:bottom w:val="single" w:sz="8" w:space="0" w:color="auto"/>
              <w:right w:val="single" w:sz="8" w:space="0" w:color="auto"/>
            </w:tcBorders>
            <w:shd w:val="clear" w:color="auto" w:fill="auto"/>
            <w:vAlign w:val="center"/>
            <w:hideMark/>
          </w:tcPr>
          <w:p w14:paraId="742F8586" w14:textId="77777777" w:rsidR="00BC3B05" w:rsidRPr="00C45AA1" w:rsidRDefault="00BC3B05" w:rsidP="00BA1F5A">
            <w:pPr>
              <w:spacing w:before="120" w:line="240" w:lineRule="auto"/>
              <w:jc w:val="right"/>
              <w:rPr>
                <w:rFonts w:eastAsia="Times New Roman" w:cs="Arial"/>
                <w:color w:val="000000"/>
                <w:sz w:val="20"/>
                <w:szCs w:val="20"/>
                <w:lang w:eastAsia="en-AU"/>
              </w:rPr>
            </w:pPr>
          </w:p>
        </w:tc>
        <w:tc>
          <w:tcPr>
            <w:tcW w:w="941" w:type="dxa"/>
            <w:tcBorders>
              <w:top w:val="nil"/>
              <w:left w:val="nil"/>
              <w:bottom w:val="single" w:sz="8" w:space="0" w:color="auto"/>
              <w:right w:val="single" w:sz="8" w:space="0" w:color="auto"/>
            </w:tcBorders>
          </w:tcPr>
          <w:p w14:paraId="5E2250E7" w14:textId="77777777" w:rsidR="00BC3B05" w:rsidRPr="00C45AA1" w:rsidRDefault="00BC3B05" w:rsidP="00BC3B05">
            <w:pPr>
              <w:spacing w:before="120" w:line="240" w:lineRule="auto"/>
              <w:ind w:left="-83" w:firstLine="83"/>
              <w:jc w:val="right"/>
              <w:rPr>
                <w:rFonts w:eastAsia="Times New Roman" w:cs="Arial"/>
                <w:color w:val="000000"/>
                <w:sz w:val="20"/>
                <w:szCs w:val="20"/>
                <w:lang w:eastAsia="en-AU"/>
              </w:rPr>
            </w:pPr>
          </w:p>
        </w:tc>
      </w:tr>
      <w:tr w:rsidR="00BC3B05" w:rsidRPr="00C45AA1" w14:paraId="08304B2C" w14:textId="77777777" w:rsidTr="00C80C11">
        <w:trPr>
          <w:trHeight w:val="270"/>
        </w:trPr>
        <w:tc>
          <w:tcPr>
            <w:tcW w:w="2459" w:type="dxa"/>
            <w:tcBorders>
              <w:top w:val="nil"/>
              <w:left w:val="single" w:sz="12" w:space="0" w:color="auto"/>
              <w:bottom w:val="single" w:sz="8" w:space="0" w:color="auto"/>
              <w:right w:val="single" w:sz="8" w:space="0" w:color="auto"/>
            </w:tcBorders>
            <w:shd w:val="clear" w:color="auto" w:fill="auto"/>
            <w:noWrap/>
            <w:vAlign w:val="center"/>
            <w:hideMark/>
          </w:tcPr>
          <w:p w14:paraId="74AB73CD"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Water</w:t>
            </w:r>
          </w:p>
        </w:tc>
        <w:tc>
          <w:tcPr>
            <w:tcW w:w="941" w:type="dxa"/>
            <w:tcBorders>
              <w:top w:val="nil"/>
              <w:left w:val="nil"/>
              <w:bottom w:val="single" w:sz="8" w:space="0" w:color="auto"/>
              <w:right w:val="single" w:sz="8" w:space="0" w:color="auto"/>
            </w:tcBorders>
            <w:shd w:val="clear" w:color="auto" w:fill="auto"/>
            <w:noWrap/>
            <w:vAlign w:val="center"/>
            <w:hideMark/>
          </w:tcPr>
          <w:p w14:paraId="70867A21"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5</w:t>
            </w:r>
          </w:p>
        </w:tc>
        <w:tc>
          <w:tcPr>
            <w:tcW w:w="941" w:type="dxa"/>
            <w:tcBorders>
              <w:top w:val="nil"/>
              <w:left w:val="nil"/>
              <w:bottom w:val="single" w:sz="8" w:space="0" w:color="auto"/>
              <w:right w:val="single" w:sz="8" w:space="0" w:color="auto"/>
            </w:tcBorders>
            <w:shd w:val="clear" w:color="auto" w:fill="auto"/>
            <w:noWrap/>
            <w:vAlign w:val="center"/>
            <w:hideMark/>
          </w:tcPr>
          <w:p w14:paraId="72082B29"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3E6CC8BE"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6E5DFCCF"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4</w:t>
            </w:r>
          </w:p>
        </w:tc>
        <w:tc>
          <w:tcPr>
            <w:tcW w:w="941" w:type="dxa"/>
            <w:tcBorders>
              <w:top w:val="nil"/>
              <w:left w:val="nil"/>
              <w:bottom w:val="single" w:sz="8" w:space="0" w:color="auto"/>
              <w:right w:val="single" w:sz="8" w:space="0" w:color="auto"/>
            </w:tcBorders>
            <w:shd w:val="clear" w:color="auto" w:fill="auto"/>
            <w:vAlign w:val="center"/>
            <w:hideMark/>
          </w:tcPr>
          <w:p w14:paraId="26B87E99" w14:textId="77777777" w:rsidR="00BC3B05" w:rsidRPr="00C45AA1" w:rsidRDefault="00BC3B05" w:rsidP="00BA1F5A">
            <w:pPr>
              <w:spacing w:before="120" w:line="240" w:lineRule="auto"/>
              <w:jc w:val="right"/>
              <w:rPr>
                <w:rFonts w:eastAsia="Times New Roman" w:cs="Arial"/>
                <w:color w:val="000000"/>
                <w:sz w:val="20"/>
                <w:szCs w:val="20"/>
                <w:lang w:eastAsia="en-AU"/>
              </w:rPr>
            </w:pPr>
          </w:p>
        </w:tc>
        <w:tc>
          <w:tcPr>
            <w:tcW w:w="941" w:type="dxa"/>
            <w:tcBorders>
              <w:top w:val="nil"/>
              <w:left w:val="nil"/>
              <w:bottom w:val="single" w:sz="8" w:space="0" w:color="auto"/>
              <w:right w:val="single" w:sz="8" w:space="0" w:color="auto"/>
            </w:tcBorders>
            <w:shd w:val="clear" w:color="auto" w:fill="auto"/>
            <w:vAlign w:val="center"/>
            <w:hideMark/>
          </w:tcPr>
          <w:p w14:paraId="0EDD6E8E" w14:textId="77777777" w:rsidR="00BC3B05" w:rsidRPr="00C45AA1" w:rsidRDefault="00BC3B05" w:rsidP="00BA1F5A">
            <w:pPr>
              <w:spacing w:before="120" w:line="240" w:lineRule="auto"/>
              <w:jc w:val="right"/>
              <w:rPr>
                <w:rFonts w:eastAsia="Times New Roman" w:cs="Arial"/>
                <w:color w:val="000000"/>
                <w:sz w:val="20"/>
                <w:szCs w:val="20"/>
                <w:lang w:eastAsia="en-AU"/>
              </w:rPr>
            </w:pPr>
          </w:p>
        </w:tc>
        <w:tc>
          <w:tcPr>
            <w:tcW w:w="941" w:type="dxa"/>
            <w:tcBorders>
              <w:top w:val="nil"/>
              <w:left w:val="nil"/>
              <w:bottom w:val="single" w:sz="8" w:space="0" w:color="auto"/>
              <w:right w:val="single" w:sz="8" w:space="0" w:color="auto"/>
            </w:tcBorders>
            <w:shd w:val="clear" w:color="auto" w:fill="auto"/>
            <w:vAlign w:val="center"/>
            <w:hideMark/>
          </w:tcPr>
          <w:p w14:paraId="5FE6EF30"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w:t>
            </w:r>
          </w:p>
        </w:tc>
        <w:tc>
          <w:tcPr>
            <w:tcW w:w="941" w:type="dxa"/>
            <w:tcBorders>
              <w:top w:val="nil"/>
              <w:left w:val="nil"/>
              <w:bottom w:val="single" w:sz="8" w:space="0" w:color="auto"/>
              <w:right w:val="single" w:sz="8" w:space="0" w:color="auto"/>
            </w:tcBorders>
          </w:tcPr>
          <w:p w14:paraId="3972E7B8" w14:textId="77777777" w:rsidR="00BC3B05" w:rsidRPr="00C45AA1" w:rsidRDefault="00BC3B05" w:rsidP="00BC3B05">
            <w:pPr>
              <w:spacing w:before="120" w:line="240" w:lineRule="auto"/>
              <w:ind w:left="-83" w:firstLine="83"/>
              <w:jc w:val="right"/>
              <w:rPr>
                <w:rFonts w:eastAsia="Times New Roman" w:cs="Arial"/>
                <w:color w:val="000000"/>
                <w:sz w:val="20"/>
                <w:szCs w:val="20"/>
                <w:lang w:eastAsia="en-AU"/>
              </w:rPr>
            </w:pPr>
          </w:p>
        </w:tc>
      </w:tr>
      <w:tr w:rsidR="00BC3B05" w:rsidRPr="00C45AA1" w14:paraId="2061B87B" w14:textId="77777777" w:rsidTr="00C80C11">
        <w:trPr>
          <w:trHeight w:val="270"/>
        </w:trPr>
        <w:tc>
          <w:tcPr>
            <w:tcW w:w="2459" w:type="dxa"/>
            <w:tcBorders>
              <w:top w:val="nil"/>
              <w:left w:val="single" w:sz="12" w:space="0" w:color="auto"/>
              <w:bottom w:val="single" w:sz="8" w:space="0" w:color="auto"/>
              <w:right w:val="single" w:sz="8" w:space="0" w:color="auto"/>
            </w:tcBorders>
            <w:shd w:val="clear" w:color="auto" w:fill="auto"/>
            <w:noWrap/>
            <w:vAlign w:val="center"/>
            <w:hideMark/>
          </w:tcPr>
          <w:p w14:paraId="3FC09BD8"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Strata Titles</w:t>
            </w:r>
          </w:p>
        </w:tc>
        <w:tc>
          <w:tcPr>
            <w:tcW w:w="941" w:type="dxa"/>
            <w:tcBorders>
              <w:top w:val="nil"/>
              <w:left w:val="nil"/>
              <w:bottom w:val="single" w:sz="8" w:space="0" w:color="auto"/>
              <w:right w:val="single" w:sz="8" w:space="0" w:color="auto"/>
            </w:tcBorders>
            <w:shd w:val="clear" w:color="auto" w:fill="auto"/>
            <w:noWrap/>
            <w:vAlign w:val="center"/>
            <w:hideMark/>
          </w:tcPr>
          <w:p w14:paraId="5B278489"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2</w:t>
            </w:r>
          </w:p>
        </w:tc>
        <w:tc>
          <w:tcPr>
            <w:tcW w:w="941" w:type="dxa"/>
            <w:tcBorders>
              <w:top w:val="nil"/>
              <w:left w:val="nil"/>
              <w:bottom w:val="single" w:sz="8" w:space="0" w:color="auto"/>
              <w:right w:val="single" w:sz="8" w:space="0" w:color="auto"/>
            </w:tcBorders>
            <w:shd w:val="clear" w:color="auto" w:fill="auto"/>
            <w:noWrap/>
            <w:vAlign w:val="center"/>
            <w:hideMark/>
          </w:tcPr>
          <w:p w14:paraId="16145829"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3</w:t>
            </w:r>
          </w:p>
        </w:tc>
        <w:tc>
          <w:tcPr>
            <w:tcW w:w="941" w:type="dxa"/>
            <w:tcBorders>
              <w:top w:val="nil"/>
              <w:left w:val="nil"/>
              <w:bottom w:val="single" w:sz="8" w:space="0" w:color="auto"/>
              <w:right w:val="single" w:sz="8" w:space="0" w:color="auto"/>
            </w:tcBorders>
            <w:shd w:val="clear" w:color="auto" w:fill="auto"/>
            <w:noWrap/>
            <w:vAlign w:val="center"/>
            <w:hideMark/>
          </w:tcPr>
          <w:p w14:paraId="2586CEF3"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2</w:t>
            </w:r>
          </w:p>
        </w:tc>
        <w:tc>
          <w:tcPr>
            <w:tcW w:w="941" w:type="dxa"/>
            <w:tcBorders>
              <w:top w:val="nil"/>
              <w:left w:val="nil"/>
              <w:bottom w:val="single" w:sz="8" w:space="0" w:color="auto"/>
              <w:right w:val="single" w:sz="8" w:space="0" w:color="auto"/>
            </w:tcBorders>
            <w:shd w:val="clear" w:color="auto" w:fill="auto"/>
            <w:vAlign w:val="center"/>
            <w:hideMark/>
          </w:tcPr>
          <w:p w14:paraId="3FBE00A4"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4</w:t>
            </w:r>
          </w:p>
        </w:tc>
        <w:tc>
          <w:tcPr>
            <w:tcW w:w="941" w:type="dxa"/>
            <w:tcBorders>
              <w:top w:val="nil"/>
              <w:left w:val="nil"/>
              <w:bottom w:val="single" w:sz="8" w:space="0" w:color="auto"/>
              <w:right w:val="single" w:sz="8" w:space="0" w:color="auto"/>
            </w:tcBorders>
            <w:shd w:val="clear" w:color="auto" w:fill="auto"/>
            <w:vAlign w:val="center"/>
            <w:hideMark/>
          </w:tcPr>
          <w:p w14:paraId="772B6E8A"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2</w:t>
            </w:r>
          </w:p>
        </w:tc>
        <w:tc>
          <w:tcPr>
            <w:tcW w:w="941" w:type="dxa"/>
            <w:tcBorders>
              <w:top w:val="nil"/>
              <w:left w:val="nil"/>
              <w:bottom w:val="single" w:sz="8" w:space="0" w:color="auto"/>
              <w:right w:val="single" w:sz="8" w:space="0" w:color="auto"/>
            </w:tcBorders>
            <w:shd w:val="clear" w:color="auto" w:fill="auto"/>
            <w:vAlign w:val="center"/>
            <w:hideMark/>
          </w:tcPr>
          <w:p w14:paraId="583C919A"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5</w:t>
            </w:r>
          </w:p>
        </w:tc>
        <w:tc>
          <w:tcPr>
            <w:tcW w:w="941" w:type="dxa"/>
            <w:tcBorders>
              <w:top w:val="nil"/>
              <w:left w:val="nil"/>
              <w:bottom w:val="single" w:sz="8" w:space="0" w:color="auto"/>
              <w:right w:val="single" w:sz="8" w:space="0" w:color="auto"/>
            </w:tcBorders>
            <w:shd w:val="clear" w:color="auto" w:fill="auto"/>
            <w:vAlign w:val="center"/>
            <w:hideMark/>
          </w:tcPr>
          <w:p w14:paraId="26AAA953"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4</w:t>
            </w:r>
          </w:p>
        </w:tc>
        <w:tc>
          <w:tcPr>
            <w:tcW w:w="941" w:type="dxa"/>
            <w:tcBorders>
              <w:top w:val="nil"/>
              <w:left w:val="nil"/>
              <w:bottom w:val="single" w:sz="8" w:space="0" w:color="auto"/>
              <w:right w:val="single" w:sz="8" w:space="0" w:color="auto"/>
            </w:tcBorders>
          </w:tcPr>
          <w:p w14:paraId="7C2E8999" w14:textId="77777777" w:rsidR="00BC3B05" w:rsidRPr="00C45AA1" w:rsidRDefault="00FD1A09" w:rsidP="00BC3B05">
            <w:pPr>
              <w:spacing w:before="120" w:line="240" w:lineRule="auto"/>
              <w:ind w:left="-83" w:firstLine="83"/>
              <w:jc w:val="right"/>
              <w:rPr>
                <w:rFonts w:eastAsia="Times New Roman" w:cs="Arial"/>
                <w:color w:val="000000"/>
                <w:sz w:val="20"/>
                <w:szCs w:val="20"/>
                <w:lang w:eastAsia="en-AU"/>
              </w:rPr>
            </w:pPr>
            <w:r>
              <w:rPr>
                <w:rFonts w:eastAsia="Times New Roman" w:cs="Arial"/>
                <w:color w:val="000000"/>
                <w:sz w:val="20"/>
                <w:szCs w:val="20"/>
                <w:lang w:eastAsia="en-AU"/>
              </w:rPr>
              <w:t>11</w:t>
            </w:r>
          </w:p>
        </w:tc>
      </w:tr>
      <w:tr w:rsidR="00BC3B05" w:rsidRPr="00C45AA1" w14:paraId="48FB5D85" w14:textId="77777777" w:rsidTr="00C80C11">
        <w:trPr>
          <w:trHeight w:val="270"/>
        </w:trPr>
        <w:tc>
          <w:tcPr>
            <w:tcW w:w="2459" w:type="dxa"/>
            <w:tcBorders>
              <w:top w:val="nil"/>
              <w:left w:val="single" w:sz="12" w:space="0" w:color="auto"/>
              <w:bottom w:val="single" w:sz="8" w:space="0" w:color="auto"/>
              <w:right w:val="single" w:sz="8" w:space="0" w:color="auto"/>
            </w:tcBorders>
            <w:shd w:val="clear" w:color="auto" w:fill="auto"/>
            <w:noWrap/>
            <w:vAlign w:val="center"/>
            <w:hideMark/>
          </w:tcPr>
          <w:p w14:paraId="5FEF10F0"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EMPCA</w:t>
            </w:r>
          </w:p>
        </w:tc>
        <w:tc>
          <w:tcPr>
            <w:tcW w:w="941" w:type="dxa"/>
            <w:tcBorders>
              <w:top w:val="nil"/>
              <w:left w:val="nil"/>
              <w:bottom w:val="single" w:sz="8" w:space="0" w:color="auto"/>
              <w:right w:val="single" w:sz="8" w:space="0" w:color="auto"/>
            </w:tcBorders>
            <w:shd w:val="clear" w:color="auto" w:fill="auto"/>
            <w:noWrap/>
            <w:vAlign w:val="center"/>
            <w:hideMark/>
          </w:tcPr>
          <w:p w14:paraId="7169A140"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7C5BFAD3"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6</w:t>
            </w:r>
          </w:p>
        </w:tc>
        <w:tc>
          <w:tcPr>
            <w:tcW w:w="941" w:type="dxa"/>
            <w:tcBorders>
              <w:top w:val="nil"/>
              <w:left w:val="nil"/>
              <w:bottom w:val="single" w:sz="8" w:space="0" w:color="auto"/>
              <w:right w:val="single" w:sz="8" w:space="0" w:color="auto"/>
            </w:tcBorders>
            <w:shd w:val="clear" w:color="auto" w:fill="auto"/>
            <w:noWrap/>
            <w:vAlign w:val="center"/>
            <w:hideMark/>
          </w:tcPr>
          <w:p w14:paraId="6FB2641D"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4</w:t>
            </w:r>
          </w:p>
        </w:tc>
        <w:tc>
          <w:tcPr>
            <w:tcW w:w="941" w:type="dxa"/>
            <w:tcBorders>
              <w:top w:val="nil"/>
              <w:left w:val="nil"/>
              <w:bottom w:val="single" w:sz="8" w:space="0" w:color="auto"/>
              <w:right w:val="single" w:sz="8" w:space="0" w:color="auto"/>
            </w:tcBorders>
            <w:shd w:val="clear" w:color="auto" w:fill="auto"/>
            <w:vAlign w:val="center"/>
            <w:hideMark/>
          </w:tcPr>
          <w:p w14:paraId="29B7A94B"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05E6665C"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w:t>
            </w:r>
          </w:p>
        </w:tc>
        <w:tc>
          <w:tcPr>
            <w:tcW w:w="941" w:type="dxa"/>
            <w:tcBorders>
              <w:top w:val="nil"/>
              <w:left w:val="nil"/>
              <w:bottom w:val="single" w:sz="8" w:space="0" w:color="auto"/>
              <w:right w:val="single" w:sz="8" w:space="0" w:color="auto"/>
            </w:tcBorders>
            <w:shd w:val="clear" w:color="auto" w:fill="auto"/>
            <w:vAlign w:val="center"/>
            <w:hideMark/>
          </w:tcPr>
          <w:p w14:paraId="72F18F2A"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2</w:t>
            </w:r>
          </w:p>
        </w:tc>
        <w:tc>
          <w:tcPr>
            <w:tcW w:w="941" w:type="dxa"/>
            <w:tcBorders>
              <w:top w:val="nil"/>
              <w:left w:val="nil"/>
              <w:bottom w:val="single" w:sz="8" w:space="0" w:color="auto"/>
              <w:right w:val="single" w:sz="8" w:space="0" w:color="auto"/>
            </w:tcBorders>
            <w:shd w:val="clear" w:color="auto" w:fill="auto"/>
            <w:vAlign w:val="center"/>
            <w:hideMark/>
          </w:tcPr>
          <w:p w14:paraId="380E43DB"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8</w:t>
            </w:r>
          </w:p>
        </w:tc>
        <w:tc>
          <w:tcPr>
            <w:tcW w:w="941" w:type="dxa"/>
            <w:tcBorders>
              <w:top w:val="nil"/>
              <w:left w:val="nil"/>
              <w:bottom w:val="single" w:sz="8" w:space="0" w:color="auto"/>
              <w:right w:val="single" w:sz="8" w:space="0" w:color="auto"/>
            </w:tcBorders>
          </w:tcPr>
          <w:p w14:paraId="164DFD4E" w14:textId="77777777" w:rsidR="00BC3B05" w:rsidRPr="00C45AA1" w:rsidRDefault="00FD1A09" w:rsidP="00BC3B05">
            <w:pPr>
              <w:spacing w:before="120" w:line="240" w:lineRule="auto"/>
              <w:ind w:left="-83" w:firstLine="83"/>
              <w:jc w:val="right"/>
              <w:rPr>
                <w:rFonts w:eastAsia="Times New Roman" w:cs="Arial"/>
                <w:color w:val="000000"/>
                <w:sz w:val="20"/>
                <w:szCs w:val="20"/>
                <w:lang w:eastAsia="en-AU"/>
              </w:rPr>
            </w:pPr>
            <w:r>
              <w:rPr>
                <w:rFonts w:eastAsia="Times New Roman" w:cs="Arial"/>
                <w:color w:val="000000"/>
                <w:sz w:val="20"/>
                <w:szCs w:val="20"/>
                <w:lang w:eastAsia="en-AU"/>
              </w:rPr>
              <w:t>2</w:t>
            </w:r>
          </w:p>
        </w:tc>
      </w:tr>
      <w:tr w:rsidR="00BC3B05" w:rsidRPr="00C45AA1" w14:paraId="46DF8456" w14:textId="77777777" w:rsidTr="00C80C11">
        <w:trPr>
          <w:trHeight w:val="270"/>
        </w:trPr>
        <w:tc>
          <w:tcPr>
            <w:tcW w:w="2459" w:type="dxa"/>
            <w:tcBorders>
              <w:top w:val="nil"/>
              <w:left w:val="single" w:sz="12" w:space="0" w:color="auto"/>
              <w:bottom w:val="single" w:sz="8" w:space="0" w:color="auto"/>
              <w:right w:val="single" w:sz="8" w:space="0" w:color="auto"/>
            </w:tcBorders>
            <w:shd w:val="clear" w:color="auto" w:fill="auto"/>
            <w:noWrap/>
            <w:vAlign w:val="center"/>
            <w:hideMark/>
          </w:tcPr>
          <w:p w14:paraId="6E3F9C64"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Threatened Species</w:t>
            </w:r>
          </w:p>
        </w:tc>
        <w:tc>
          <w:tcPr>
            <w:tcW w:w="941" w:type="dxa"/>
            <w:tcBorders>
              <w:top w:val="nil"/>
              <w:left w:val="nil"/>
              <w:bottom w:val="single" w:sz="8" w:space="0" w:color="auto"/>
              <w:right w:val="single" w:sz="8" w:space="0" w:color="auto"/>
            </w:tcBorders>
            <w:shd w:val="clear" w:color="auto" w:fill="auto"/>
            <w:noWrap/>
            <w:vAlign w:val="center"/>
            <w:hideMark/>
          </w:tcPr>
          <w:p w14:paraId="195FA9CF"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060218E2"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19814FCD"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10DF19B5"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59E9EB00"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7DE94C51"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7A21C026"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tcPr>
          <w:p w14:paraId="7BD57467" w14:textId="77777777" w:rsidR="00BC3B05" w:rsidRPr="00C45AA1" w:rsidRDefault="00BC3B05" w:rsidP="00BC3B05">
            <w:pPr>
              <w:spacing w:before="120" w:line="240" w:lineRule="auto"/>
              <w:ind w:left="-83" w:firstLine="83"/>
              <w:rPr>
                <w:rFonts w:eastAsia="Times New Roman" w:cs="Arial"/>
                <w:color w:val="000000"/>
                <w:sz w:val="20"/>
                <w:szCs w:val="20"/>
                <w:lang w:eastAsia="en-AU"/>
              </w:rPr>
            </w:pPr>
          </w:p>
        </w:tc>
      </w:tr>
      <w:tr w:rsidR="00BC3B05" w:rsidRPr="00C45AA1" w14:paraId="5DCFA346" w14:textId="77777777" w:rsidTr="00F61632">
        <w:trPr>
          <w:trHeight w:val="270"/>
        </w:trPr>
        <w:tc>
          <w:tcPr>
            <w:tcW w:w="2459" w:type="dxa"/>
            <w:tcBorders>
              <w:top w:val="single" w:sz="8" w:space="0" w:color="auto"/>
              <w:left w:val="single" w:sz="12" w:space="0" w:color="auto"/>
              <w:bottom w:val="single" w:sz="8" w:space="0" w:color="auto"/>
              <w:right w:val="single" w:sz="8" w:space="0" w:color="auto"/>
            </w:tcBorders>
            <w:shd w:val="clear" w:color="auto" w:fill="auto"/>
            <w:noWrap/>
            <w:vAlign w:val="center"/>
            <w:hideMark/>
          </w:tcPr>
          <w:p w14:paraId="07E4A6E5"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Local Govt. Highways Act</w:t>
            </w:r>
          </w:p>
        </w:tc>
        <w:tc>
          <w:tcPr>
            <w:tcW w:w="941" w:type="dxa"/>
            <w:tcBorders>
              <w:top w:val="nil"/>
              <w:left w:val="single" w:sz="8" w:space="0" w:color="auto"/>
              <w:bottom w:val="single" w:sz="8" w:space="0" w:color="auto"/>
              <w:right w:val="single" w:sz="8" w:space="0" w:color="auto"/>
            </w:tcBorders>
            <w:shd w:val="clear" w:color="auto" w:fill="auto"/>
            <w:noWrap/>
            <w:vAlign w:val="center"/>
            <w:hideMark/>
          </w:tcPr>
          <w:p w14:paraId="69E355E3"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5162D63B"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57C17D6F"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34F5E9A9"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5911C62B"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19EC4E4B"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19845197"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tcPr>
          <w:p w14:paraId="043AC621" w14:textId="77777777" w:rsidR="00BC3B05" w:rsidRPr="00C45AA1" w:rsidRDefault="00FD1A09" w:rsidP="00FD1A09">
            <w:pPr>
              <w:spacing w:before="120" w:line="240" w:lineRule="auto"/>
              <w:ind w:left="-83" w:firstLine="83"/>
              <w:jc w:val="right"/>
              <w:rPr>
                <w:rFonts w:eastAsia="Times New Roman" w:cs="Arial"/>
                <w:color w:val="000000"/>
                <w:sz w:val="20"/>
                <w:szCs w:val="20"/>
                <w:lang w:eastAsia="en-AU"/>
              </w:rPr>
            </w:pPr>
            <w:r>
              <w:rPr>
                <w:rFonts w:eastAsia="Times New Roman" w:cs="Arial"/>
                <w:color w:val="000000"/>
                <w:sz w:val="20"/>
                <w:szCs w:val="20"/>
                <w:lang w:eastAsia="en-AU"/>
              </w:rPr>
              <w:t>1</w:t>
            </w:r>
          </w:p>
        </w:tc>
      </w:tr>
      <w:tr w:rsidR="00BC3B05" w:rsidRPr="00C45AA1" w14:paraId="689D875B" w14:textId="77777777" w:rsidTr="00F61632">
        <w:trPr>
          <w:trHeight w:val="270"/>
        </w:trPr>
        <w:tc>
          <w:tcPr>
            <w:tcW w:w="2459" w:type="dxa"/>
            <w:tcBorders>
              <w:top w:val="single" w:sz="8" w:space="0" w:color="auto"/>
              <w:left w:val="single" w:sz="12" w:space="0" w:color="auto"/>
              <w:bottom w:val="single" w:sz="8" w:space="0" w:color="auto"/>
              <w:right w:val="single" w:sz="8" w:space="0" w:color="auto"/>
            </w:tcBorders>
            <w:shd w:val="clear" w:color="auto" w:fill="auto"/>
            <w:noWrap/>
            <w:vAlign w:val="center"/>
            <w:hideMark/>
          </w:tcPr>
          <w:p w14:paraId="01B7929E"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Water &amp; Sewerage Industry Act</w:t>
            </w:r>
          </w:p>
        </w:tc>
        <w:tc>
          <w:tcPr>
            <w:tcW w:w="941" w:type="dxa"/>
            <w:tcBorders>
              <w:top w:val="nil"/>
              <w:left w:val="single" w:sz="8" w:space="0" w:color="auto"/>
              <w:bottom w:val="single" w:sz="8" w:space="0" w:color="auto"/>
              <w:right w:val="single" w:sz="8" w:space="0" w:color="auto"/>
            </w:tcBorders>
            <w:shd w:val="clear" w:color="auto" w:fill="auto"/>
            <w:noWrap/>
            <w:vAlign w:val="center"/>
            <w:hideMark/>
          </w:tcPr>
          <w:p w14:paraId="7A80773C"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w:t>
            </w:r>
          </w:p>
        </w:tc>
        <w:tc>
          <w:tcPr>
            <w:tcW w:w="941" w:type="dxa"/>
            <w:tcBorders>
              <w:top w:val="nil"/>
              <w:left w:val="nil"/>
              <w:bottom w:val="single" w:sz="8" w:space="0" w:color="auto"/>
              <w:right w:val="single" w:sz="8" w:space="0" w:color="auto"/>
            </w:tcBorders>
            <w:shd w:val="clear" w:color="auto" w:fill="auto"/>
            <w:noWrap/>
            <w:vAlign w:val="center"/>
            <w:hideMark/>
          </w:tcPr>
          <w:p w14:paraId="2D6B2FB6"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04122DB7"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48707BBA"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1E477BE5"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3768B431"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46D597E3"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tcPr>
          <w:p w14:paraId="0B30C260" w14:textId="77777777" w:rsidR="00BC3B05" w:rsidRPr="00C45AA1" w:rsidRDefault="00BC3B05" w:rsidP="00BC3B05">
            <w:pPr>
              <w:spacing w:before="120" w:line="240" w:lineRule="auto"/>
              <w:ind w:left="-83" w:firstLine="83"/>
              <w:rPr>
                <w:rFonts w:eastAsia="Times New Roman" w:cs="Arial"/>
                <w:color w:val="000000"/>
                <w:sz w:val="20"/>
                <w:szCs w:val="20"/>
                <w:lang w:eastAsia="en-AU"/>
              </w:rPr>
            </w:pPr>
          </w:p>
        </w:tc>
      </w:tr>
      <w:tr w:rsidR="00BC3B05" w:rsidRPr="00C45AA1" w14:paraId="2EE76CF6" w14:textId="77777777" w:rsidTr="00F61632">
        <w:trPr>
          <w:trHeight w:val="270"/>
        </w:trPr>
        <w:tc>
          <w:tcPr>
            <w:tcW w:w="2459" w:type="dxa"/>
            <w:tcBorders>
              <w:top w:val="single" w:sz="8" w:space="0" w:color="auto"/>
              <w:left w:val="single" w:sz="12" w:space="0" w:color="auto"/>
              <w:bottom w:val="single" w:sz="8" w:space="0" w:color="auto"/>
              <w:right w:val="single" w:sz="8" w:space="0" w:color="auto"/>
            </w:tcBorders>
            <w:shd w:val="clear" w:color="auto" w:fill="auto"/>
            <w:noWrap/>
            <w:vAlign w:val="center"/>
            <w:hideMark/>
          </w:tcPr>
          <w:p w14:paraId="7E5EADE2"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Building Act</w:t>
            </w:r>
          </w:p>
        </w:tc>
        <w:tc>
          <w:tcPr>
            <w:tcW w:w="941" w:type="dxa"/>
            <w:tcBorders>
              <w:top w:val="nil"/>
              <w:left w:val="single" w:sz="8" w:space="0" w:color="auto"/>
              <w:bottom w:val="single" w:sz="8" w:space="0" w:color="auto"/>
              <w:right w:val="single" w:sz="8" w:space="0" w:color="auto"/>
            </w:tcBorders>
            <w:shd w:val="clear" w:color="auto" w:fill="auto"/>
            <w:noWrap/>
            <w:vAlign w:val="center"/>
            <w:hideMark/>
          </w:tcPr>
          <w:p w14:paraId="1141B2A9"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206FC51A"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7AE949C3"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62BFBD71"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6</w:t>
            </w:r>
          </w:p>
        </w:tc>
        <w:tc>
          <w:tcPr>
            <w:tcW w:w="941" w:type="dxa"/>
            <w:tcBorders>
              <w:top w:val="nil"/>
              <w:left w:val="nil"/>
              <w:bottom w:val="single" w:sz="8" w:space="0" w:color="auto"/>
              <w:right w:val="single" w:sz="8" w:space="0" w:color="auto"/>
            </w:tcBorders>
            <w:shd w:val="clear" w:color="auto" w:fill="auto"/>
            <w:vAlign w:val="center"/>
            <w:hideMark/>
          </w:tcPr>
          <w:p w14:paraId="70D37EC6"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3</w:t>
            </w:r>
          </w:p>
        </w:tc>
        <w:tc>
          <w:tcPr>
            <w:tcW w:w="941" w:type="dxa"/>
            <w:tcBorders>
              <w:top w:val="nil"/>
              <w:left w:val="nil"/>
              <w:bottom w:val="single" w:sz="8" w:space="0" w:color="auto"/>
              <w:right w:val="single" w:sz="8" w:space="0" w:color="auto"/>
            </w:tcBorders>
            <w:shd w:val="clear" w:color="auto" w:fill="auto"/>
            <w:vAlign w:val="center"/>
            <w:hideMark/>
          </w:tcPr>
          <w:p w14:paraId="7CB37341"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9</w:t>
            </w:r>
          </w:p>
        </w:tc>
        <w:tc>
          <w:tcPr>
            <w:tcW w:w="941" w:type="dxa"/>
            <w:tcBorders>
              <w:top w:val="nil"/>
              <w:left w:val="nil"/>
              <w:bottom w:val="single" w:sz="8" w:space="0" w:color="auto"/>
              <w:right w:val="single" w:sz="8" w:space="0" w:color="auto"/>
            </w:tcBorders>
            <w:shd w:val="clear" w:color="auto" w:fill="auto"/>
            <w:vAlign w:val="center"/>
            <w:hideMark/>
          </w:tcPr>
          <w:p w14:paraId="0B59723D"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9</w:t>
            </w:r>
          </w:p>
        </w:tc>
        <w:tc>
          <w:tcPr>
            <w:tcW w:w="941" w:type="dxa"/>
            <w:tcBorders>
              <w:top w:val="nil"/>
              <w:left w:val="nil"/>
              <w:bottom w:val="single" w:sz="8" w:space="0" w:color="auto"/>
              <w:right w:val="single" w:sz="8" w:space="0" w:color="auto"/>
            </w:tcBorders>
          </w:tcPr>
          <w:p w14:paraId="018037C0" w14:textId="77777777" w:rsidR="00BC3B05" w:rsidRPr="00C45AA1" w:rsidRDefault="00C80C11" w:rsidP="00BC3B05">
            <w:pPr>
              <w:spacing w:before="120" w:line="240" w:lineRule="auto"/>
              <w:ind w:left="-83" w:firstLine="83"/>
              <w:jc w:val="right"/>
              <w:rPr>
                <w:rFonts w:eastAsia="Times New Roman" w:cs="Arial"/>
                <w:color w:val="000000"/>
                <w:sz w:val="20"/>
                <w:szCs w:val="20"/>
                <w:lang w:eastAsia="en-AU"/>
              </w:rPr>
            </w:pPr>
            <w:r>
              <w:rPr>
                <w:rFonts w:eastAsia="Times New Roman" w:cs="Arial"/>
                <w:color w:val="000000"/>
                <w:sz w:val="20"/>
                <w:szCs w:val="20"/>
                <w:lang w:eastAsia="en-AU"/>
              </w:rPr>
              <w:t>10</w:t>
            </w:r>
          </w:p>
        </w:tc>
      </w:tr>
      <w:tr w:rsidR="00BC3B05" w:rsidRPr="00C45AA1" w14:paraId="6DD510A3" w14:textId="77777777" w:rsidTr="00F61632">
        <w:trPr>
          <w:trHeight w:val="270"/>
        </w:trPr>
        <w:tc>
          <w:tcPr>
            <w:tcW w:w="2459" w:type="dxa"/>
            <w:tcBorders>
              <w:top w:val="single" w:sz="8" w:space="0" w:color="auto"/>
              <w:left w:val="single" w:sz="12" w:space="0" w:color="auto"/>
              <w:bottom w:val="single" w:sz="8" w:space="0" w:color="auto"/>
              <w:right w:val="single" w:sz="8" w:space="0" w:color="auto"/>
            </w:tcBorders>
            <w:shd w:val="clear" w:color="auto" w:fill="auto"/>
            <w:noWrap/>
            <w:vAlign w:val="center"/>
            <w:hideMark/>
          </w:tcPr>
          <w:p w14:paraId="7F4BD349" w14:textId="77777777" w:rsidR="00BC3B05" w:rsidRPr="00C45AA1" w:rsidRDefault="00BC3B05" w:rsidP="00C80C11">
            <w:pPr>
              <w:spacing w:before="120" w:line="240" w:lineRule="auto"/>
              <w:rPr>
                <w:rFonts w:eastAsia="Times New Roman" w:cs="Arial"/>
                <w:b/>
                <w:bCs/>
                <w:color w:val="000000"/>
                <w:sz w:val="20"/>
                <w:szCs w:val="20"/>
                <w:lang w:eastAsia="en-AU"/>
              </w:rPr>
            </w:pPr>
            <w:r w:rsidRPr="00C45AA1">
              <w:rPr>
                <w:rFonts w:eastAsia="Times New Roman" w:cs="Arial"/>
                <w:b/>
                <w:bCs/>
                <w:color w:val="000000"/>
                <w:sz w:val="20"/>
                <w:szCs w:val="20"/>
                <w:lang w:eastAsia="en-AU"/>
              </w:rPr>
              <w:t>Total</w:t>
            </w:r>
          </w:p>
        </w:tc>
        <w:tc>
          <w:tcPr>
            <w:tcW w:w="941" w:type="dxa"/>
            <w:tcBorders>
              <w:top w:val="nil"/>
              <w:left w:val="single" w:sz="8" w:space="0" w:color="auto"/>
              <w:bottom w:val="single" w:sz="8" w:space="0" w:color="auto"/>
              <w:right w:val="single" w:sz="8" w:space="0" w:color="auto"/>
            </w:tcBorders>
            <w:shd w:val="clear" w:color="auto" w:fill="auto"/>
            <w:noWrap/>
            <w:vAlign w:val="center"/>
            <w:hideMark/>
          </w:tcPr>
          <w:p w14:paraId="1AF58C86" w14:textId="77777777" w:rsidR="00BC3B05" w:rsidRPr="00C45AA1" w:rsidRDefault="00BC3B05" w:rsidP="00BA1F5A">
            <w:pPr>
              <w:spacing w:before="120" w:line="240" w:lineRule="auto"/>
              <w:jc w:val="right"/>
              <w:rPr>
                <w:rFonts w:eastAsia="Times New Roman" w:cs="Arial"/>
                <w:b/>
                <w:bCs/>
                <w:color w:val="000000"/>
                <w:sz w:val="20"/>
                <w:szCs w:val="20"/>
                <w:lang w:eastAsia="en-AU"/>
              </w:rPr>
            </w:pPr>
            <w:r w:rsidRPr="00C45AA1">
              <w:rPr>
                <w:rFonts w:eastAsia="Times New Roman" w:cs="Arial"/>
                <w:b/>
                <w:bCs/>
                <w:color w:val="000000"/>
                <w:sz w:val="20"/>
                <w:szCs w:val="20"/>
                <w:lang w:eastAsia="en-AU"/>
              </w:rPr>
              <w:t>299</w:t>
            </w:r>
          </w:p>
        </w:tc>
        <w:tc>
          <w:tcPr>
            <w:tcW w:w="941" w:type="dxa"/>
            <w:tcBorders>
              <w:top w:val="nil"/>
              <w:left w:val="nil"/>
              <w:bottom w:val="single" w:sz="8" w:space="0" w:color="auto"/>
              <w:right w:val="single" w:sz="8" w:space="0" w:color="auto"/>
            </w:tcBorders>
            <w:shd w:val="clear" w:color="auto" w:fill="auto"/>
            <w:noWrap/>
            <w:vAlign w:val="center"/>
            <w:hideMark/>
          </w:tcPr>
          <w:p w14:paraId="591CA940" w14:textId="77777777" w:rsidR="00BC3B05" w:rsidRPr="00C45AA1" w:rsidRDefault="00BC3B05" w:rsidP="00BA1F5A">
            <w:pPr>
              <w:spacing w:before="120" w:line="240" w:lineRule="auto"/>
              <w:jc w:val="right"/>
              <w:rPr>
                <w:rFonts w:eastAsia="Times New Roman" w:cs="Arial"/>
                <w:b/>
                <w:bCs/>
                <w:color w:val="000000"/>
                <w:sz w:val="20"/>
                <w:szCs w:val="20"/>
                <w:lang w:eastAsia="en-AU"/>
              </w:rPr>
            </w:pPr>
            <w:r w:rsidRPr="00C45AA1">
              <w:rPr>
                <w:rFonts w:eastAsia="Times New Roman" w:cs="Arial"/>
                <w:b/>
                <w:bCs/>
                <w:color w:val="000000"/>
                <w:sz w:val="20"/>
                <w:szCs w:val="20"/>
                <w:lang w:eastAsia="en-AU"/>
              </w:rPr>
              <w:t>292</w:t>
            </w:r>
          </w:p>
        </w:tc>
        <w:tc>
          <w:tcPr>
            <w:tcW w:w="941" w:type="dxa"/>
            <w:tcBorders>
              <w:top w:val="nil"/>
              <w:left w:val="nil"/>
              <w:bottom w:val="single" w:sz="8" w:space="0" w:color="auto"/>
              <w:right w:val="single" w:sz="8" w:space="0" w:color="auto"/>
            </w:tcBorders>
            <w:shd w:val="clear" w:color="auto" w:fill="auto"/>
            <w:noWrap/>
            <w:vAlign w:val="center"/>
            <w:hideMark/>
          </w:tcPr>
          <w:p w14:paraId="3B95DB69" w14:textId="77777777" w:rsidR="00BC3B05" w:rsidRPr="00C45AA1" w:rsidRDefault="00BC3B05" w:rsidP="00BA1F5A">
            <w:pPr>
              <w:spacing w:before="120" w:line="240" w:lineRule="auto"/>
              <w:jc w:val="right"/>
              <w:rPr>
                <w:rFonts w:eastAsia="Times New Roman" w:cs="Arial"/>
                <w:b/>
                <w:bCs/>
                <w:color w:val="000000"/>
                <w:sz w:val="20"/>
                <w:szCs w:val="20"/>
                <w:lang w:eastAsia="en-AU"/>
              </w:rPr>
            </w:pPr>
            <w:r w:rsidRPr="00C45AA1">
              <w:rPr>
                <w:rFonts w:eastAsia="Times New Roman" w:cs="Arial"/>
                <w:b/>
                <w:bCs/>
                <w:color w:val="000000"/>
                <w:sz w:val="20"/>
                <w:szCs w:val="20"/>
                <w:lang w:eastAsia="en-AU"/>
              </w:rPr>
              <w:t>213</w:t>
            </w:r>
          </w:p>
        </w:tc>
        <w:tc>
          <w:tcPr>
            <w:tcW w:w="941" w:type="dxa"/>
            <w:tcBorders>
              <w:top w:val="nil"/>
              <w:left w:val="nil"/>
              <w:bottom w:val="single" w:sz="8" w:space="0" w:color="auto"/>
              <w:right w:val="single" w:sz="8" w:space="0" w:color="auto"/>
            </w:tcBorders>
            <w:shd w:val="clear" w:color="auto" w:fill="auto"/>
            <w:noWrap/>
            <w:vAlign w:val="center"/>
            <w:hideMark/>
          </w:tcPr>
          <w:p w14:paraId="7F0F18D7" w14:textId="77777777" w:rsidR="00BC3B05" w:rsidRPr="00C45AA1" w:rsidRDefault="00BC3B05" w:rsidP="00BA1F5A">
            <w:pPr>
              <w:spacing w:before="120" w:line="240" w:lineRule="auto"/>
              <w:jc w:val="right"/>
              <w:rPr>
                <w:rFonts w:eastAsia="Times New Roman" w:cs="Arial"/>
                <w:b/>
                <w:bCs/>
                <w:color w:val="000000"/>
                <w:sz w:val="20"/>
                <w:szCs w:val="20"/>
                <w:lang w:eastAsia="en-AU"/>
              </w:rPr>
            </w:pPr>
            <w:r w:rsidRPr="00C45AA1">
              <w:rPr>
                <w:rFonts w:eastAsia="Times New Roman" w:cs="Arial"/>
                <w:b/>
                <w:bCs/>
                <w:color w:val="000000"/>
                <w:sz w:val="20"/>
                <w:szCs w:val="20"/>
                <w:lang w:eastAsia="en-AU"/>
              </w:rPr>
              <w:t>176</w:t>
            </w:r>
          </w:p>
        </w:tc>
        <w:tc>
          <w:tcPr>
            <w:tcW w:w="941" w:type="dxa"/>
            <w:tcBorders>
              <w:top w:val="nil"/>
              <w:left w:val="nil"/>
              <w:bottom w:val="single" w:sz="8" w:space="0" w:color="auto"/>
              <w:right w:val="single" w:sz="8" w:space="0" w:color="auto"/>
            </w:tcBorders>
            <w:shd w:val="clear" w:color="auto" w:fill="auto"/>
            <w:noWrap/>
            <w:vAlign w:val="center"/>
            <w:hideMark/>
          </w:tcPr>
          <w:p w14:paraId="0138FE2C" w14:textId="77777777" w:rsidR="00BC3B05" w:rsidRPr="00C45AA1" w:rsidRDefault="00BC3B05" w:rsidP="00BA1F5A">
            <w:pPr>
              <w:spacing w:before="120" w:line="240" w:lineRule="auto"/>
              <w:jc w:val="right"/>
              <w:rPr>
                <w:rFonts w:eastAsia="Times New Roman" w:cs="Arial"/>
                <w:b/>
                <w:bCs/>
                <w:color w:val="000000"/>
                <w:sz w:val="20"/>
                <w:szCs w:val="20"/>
                <w:lang w:eastAsia="en-AU"/>
              </w:rPr>
            </w:pPr>
            <w:r w:rsidRPr="00C45AA1">
              <w:rPr>
                <w:rFonts w:eastAsia="Times New Roman" w:cs="Arial"/>
                <w:b/>
                <w:bCs/>
                <w:color w:val="000000"/>
                <w:sz w:val="20"/>
                <w:szCs w:val="20"/>
                <w:lang w:eastAsia="en-AU"/>
              </w:rPr>
              <w:t>135</w:t>
            </w:r>
          </w:p>
        </w:tc>
        <w:tc>
          <w:tcPr>
            <w:tcW w:w="941" w:type="dxa"/>
            <w:tcBorders>
              <w:top w:val="nil"/>
              <w:left w:val="nil"/>
              <w:bottom w:val="single" w:sz="8" w:space="0" w:color="auto"/>
              <w:right w:val="single" w:sz="8" w:space="0" w:color="auto"/>
            </w:tcBorders>
            <w:shd w:val="clear" w:color="auto" w:fill="auto"/>
            <w:noWrap/>
            <w:vAlign w:val="center"/>
            <w:hideMark/>
          </w:tcPr>
          <w:p w14:paraId="027BA073" w14:textId="77777777" w:rsidR="00BC3B05" w:rsidRPr="00C45AA1" w:rsidRDefault="00BC3B05" w:rsidP="00BA1F5A">
            <w:pPr>
              <w:spacing w:before="120" w:line="240" w:lineRule="auto"/>
              <w:jc w:val="right"/>
              <w:rPr>
                <w:rFonts w:eastAsia="Times New Roman" w:cs="Arial"/>
                <w:b/>
                <w:bCs/>
                <w:color w:val="000000"/>
                <w:sz w:val="20"/>
                <w:szCs w:val="20"/>
                <w:lang w:eastAsia="en-AU"/>
              </w:rPr>
            </w:pPr>
            <w:r w:rsidRPr="00C45AA1">
              <w:rPr>
                <w:rFonts w:eastAsia="Times New Roman" w:cs="Arial"/>
                <w:b/>
                <w:bCs/>
                <w:color w:val="000000"/>
                <w:sz w:val="20"/>
                <w:szCs w:val="20"/>
                <w:lang w:eastAsia="en-AU"/>
              </w:rPr>
              <w:t>118</w:t>
            </w:r>
          </w:p>
        </w:tc>
        <w:tc>
          <w:tcPr>
            <w:tcW w:w="941" w:type="dxa"/>
            <w:tcBorders>
              <w:top w:val="nil"/>
              <w:left w:val="nil"/>
              <w:bottom w:val="single" w:sz="8" w:space="0" w:color="auto"/>
              <w:right w:val="single" w:sz="8" w:space="0" w:color="auto"/>
            </w:tcBorders>
            <w:shd w:val="clear" w:color="auto" w:fill="auto"/>
            <w:noWrap/>
            <w:vAlign w:val="center"/>
            <w:hideMark/>
          </w:tcPr>
          <w:p w14:paraId="5BC713AC" w14:textId="77777777" w:rsidR="00BC3B05" w:rsidRPr="00C45AA1" w:rsidRDefault="00BC3B05" w:rsidP="00BA1F5A">
            <w:pPr>
              <w:spacing w:before="120" w:line="240" w:lineRule="auto"/>
              <w:jc w:val="right"/>
              <w:rPr>
                <w:rFonts w:eastAsia="Times New Roman" w:cs="Arial"/>
                <w:b/>
                <w:bCs/>
                <w:color w:val="000000"/>
                <w:sz w:val="20"/>
                <w:szCs w:val="20"/>
                <w:lang w:eastAsia="en-AU"/>
              </w:rPr>
            </w:pPr>
            <w:r w:rsidRPr="00C45AA1">
              <w:rPr>
                <w:rFonts w:eastAsia="Times New Roman" w:cs="Arial"/>
                <w:b/>
                <w:bCs/>
                <w:color w:val="000000"/>
                <w:sz w:val="20"/>
                <w:szCs w:val="20"/>
                <w:lang w:eastAsia="en-AU"/>
              </w:rPr>
              <w:t>141</w:t>
            </w:r>
          </w:p>
        </w:tc>
        <w:tc>
          <w:tcPr>
            <w:tcW w:w="941" w:type="dxa"/>
            <w:tcBorders>
              <w:top w:val="nil"/>
              <w:left w:val="nil"/>
              <w:bottom w:val="single" w:sz="8" w:space="0" w:color="auto"/>
              <w:right w:val="single" w:sz="8" w:space="0" w:color="auto"/>
            </w:tcBorders>
          </w:tcPr>
          <w:p w14:paraId="7F4AA627" w14:textId="77777777" w:rsidR="00BC3B05" w:rsidRPr="00C45AA1" w:rsidRDefault="00C80C11" w:rsidP="00BC3B05">
            <w:pPr>
              <w:spacing w:before="120" w:line="240" w:lineRule="auto"/>
              <w:ind w:left="-83" w:firstLine="83"/>
              <w:jc w:val="right"/>
              <w:rPr>
                <w:rFonts w:eastAsia="Times New Roman" w:cs="Arial"/>
                <w:b/>
                <w:bCs/>
                <w:color w:val="000000"/>
                <w:sz w:val="20"/>
                <w:szCs w:val="20"/>
                <w:lang w:eastAsia="en-AU"/>
              </w:rPr>
            </w:pPr>
            <w:r>
              <w:rPr>
                <w:rFonts w:eastAsia="Times New Roman" w:cs="Arial"/>
                <w:b/>
                <w:bCs/>
                <w:color w:val="000000"/>
                <w:sz w:val="20"/>
                <w:szCs w:val="20"/>
                <w:lang w:eastAsia="en-AU"/>
              </w:rPr>
              <w:t>155</w:t>
            </w:r>
          </w:p>
        </w:tc>
      </w:tr>
    </w:tbl>
    <w:p w14:paraId="21EC41C4" w14:textId="77777777" w:rsidR="00BA1F5A" w:rsidRDefault="00BA1F5A">
      <w:r>
        <w:br w:type="page"/>
      </w:r>
    </w:p>
    <w:tbl>
      <w:tblPr>
        <w:tblW w:w="9987" w:type="dxa"/>
        <w:tblInd w:w="78" w:type="dxa"/>
        <w:tblLook w:val="04A0" w:firstRow="1" w:lastRow="0" w:firstColumn="1" w:lastColumn="0" w:noHBand="0" w:noVBand="1"/>
      </w:tblPr>
      <w:tblGrid>
        <w:gridCol w:w="2459"/>
        <w:gridCol w:w="941"/>
        <w:gridCol w:w="941"/>
        <w:gridCol w:w="941"/>
        <w:gridCol w:w="941"/>
        <w:gridCol w:w="941"/>
        <w:gridCol w:w="941"/>
        <w:gridCol w:w="941"/>
        <w:gridCol w:w="941"/>
      </w:tblGrid>
      <w:tr w:rsidR="00BC3B05" w:rsidRPr="00C45AA1" w14:paraId="7EDB038D" w14:textId="77777777" w:rsidTr="00BA1F5A">
        <w:trPr>
          <w:trHeight w:val="255"/>
        </w:trPr>
        <w:tc>
          <w:tcPr>
            <w:tcW w:w="2459" w:type="dxa"/>
            <w:tcBorders>
              <w:top w:val="single" w:sz="8" w:space="0" w:color="auto"/>
              <w:left w:val="single" w:sz="12" w:space="0" w:color="auto"/>
              <w:bottom w:val="single" w:sz="4" w:space="0" w:color="auto"/>
              <w:right w:val="single" w:sz="8" w:space="0" w:color="000000"/>
            </w:tcBorders>
            <w:shd w:val="clear" w:color="auto" w:fill="7F7F7F" w:themeFill="text1" w:themeFillTint="80"/>
            <w:noWrap/>
            <w:vAlign w:val="center"/>
            <w:hideMark/>
          </w:tcPr>
          <w:p w14:paraId="7FA3BC1D" w14:textId="77777777" w:rsidR="00BC3B05" w:rsidRPr="00C45AA1" w:rsidRDefault="00BC3B05" w:rsidP="00BA1F5A">
            <w:pPr>
              <w:spacing w:before="120" w:line="240" w:lineRule="auto"/>
              <w:rPr>
                <w:rFonts w:eastAsia="Times New Roman" w:cs="Arial"/>
                <w:b/>
                <w:bCs/>
                <w:color w:val="000000"/>
                <w:sz w:val="20"/>
                <w:szCs w:val="20"/>
                <w:lang w:eastAsia="en-AU"/>
              </w:rPr>
            </w:pPr>
            <w:r w:rsidRPr="00C45AA1">
              <w:rPr>
                <w:rFonts w:eastAsia="Times New Roman" w:cs="Arial"/>
                <w:b/>
                <w:bCs/>
                <w:color w:val="000000"/>
                <w:sz w:val="20"/>
                <w:szCs w:val="20"/>
                <w:lang w:eastAsia="en-AU"/>
              </w:rPr>
              <w:lastRenderedPageBreak/>
              <w:t xml:space="preserve">Applications By Legislations </w:t>
            </w:r>
          </w:p>
        </w:tc>
        <w:tc>
          <w:tcPr>
            <w:tcW w:w="941" w:type="dxa"/>
            <w:tcBorders>
              <w:top w:val="single" w:sz="8" w:space="0" w:color="auto"/>
              <w:left w:val="nil"/>
              <w:bottom w:val="single" w:sz="4" w:space="0" w:color="auto"/>
              <w:right w:val="single" w:sz="8" w:space="0" w:color="auto"/>
            </w:tcBorders>
            <w:shd w:val="clear" w:color="auto" w:fill="7F7F7F" w:themeFill="text1" w:themeFillTint="80"/>
            <w:noWrap/>
            <w:vAlign w:val="center"/>
            <w:hideMark/>
          </w:tcPr>
          <w:p w14:paraId="4774A26A" w14:textId="77777777" w:rsidR="00BC3B05" w:rsidRPr="00C45AA1" w:rsidRDefault="00BC3B05" w:rsidP="00BA1F5A">
            <w:pPr>
              <w:spacing w:before="120" w:line="240" w:lineRule="auto"/>
              <w:jc w:val="center"/>
              <w:rPr>
                <w:rFonts w:eastAsia="Times New Roman" w:cs="Arial"/>
                <w:b/>
                <w:bCs/>
                <w:color w:val="000000"/>
                <w:sz w:val="20"/>
                <w:szCs w:val="20"/>
                <w:lang w:eastAsia="en-AU"/>
              </w:rPr>
            </w:pPr>
            <w:r w:rsidRPr="00C45AA1">
              <w:rPr>
                <w:rFonts w:eastAsia="Times New Roman" w:cs="Arial"/>
                <w:b/>
                <w:bCs/>
                <w:color w:val="000000"/>
                <w:sz w:val="20"/>
                <w:szCs w:val="20"/>
                <w:lang w:eastAsia="en-AU"/>
              </w:rPr>
              <w:t>2009-10</w:t>
            </w:r>
          </w:p>
        </w:tc>
        <w:tc>
          <w:tcPr>
            <w:tcW w:w="941" w:type="dxa"/>
            <w:tcBorders>
              <w:top w:val="single" w:sz="8" w:space="0" w:color="auto"/>
              <w:left w:val="nil"/>
              <w:bottom w:val="single" w:sz="4" w:space="0" w:color="auto"/>
              <w:right w:val="single" w:sz="8" w:space="0" w:color="auto"/>
            </w:tcBorders>
            <w:shd w:val="clear" w:color="auto" w:fill="7F7F7F" w:themeFill="text1" w:themeFillTint="80"/>
            <w:noWrap/>
            <w:vAlign w:val="center"/>
            <w:hideMark/>
          </w:tcPr>
          <w:p w14:paraId="60879C57" w14:textId="77777777" w:rsidR="00BC3B05" w:rsidRPr="00C45AA1" w:rsidRDefault="00BC3B05" w:rsidP="00BA1F5A">
            <w:pPr>
              <w:spacing w:before="120" w:line="240" w:lineRule="auto"/>
              <w:jc w:val="center"/>
              <w:rPr>
                <w:rFonts w:eastAsia="Times New Roman" w:cs="Arial"/>
                <w:b/>
                <w:bCs/>
                <w:color w:val="000000"/>
                <w:sz w:val="20"/>
                <w:szCs w:val="20"/>
                <w:lang w:eastAsia="en-AU"/>
              </w:rPr>
            </w:pPr>
            <w:r w:rsidRPr="00C45AA1">
              <w:rPr>
                <w:rFonts w:eastAsia="Times New Roman" w:cs="Arial"/>
                <w:b/>
                <w:bCs/>
                <w:color w:val="000000"/>
                <w:sz w:val="20"/>
                <w:szCs w:val="20"/>
                <w:lang w:eastAsia="en-AU"/>
              </w:rPr>
              <w:t>2010-11</w:t>
            </w:r>
          </w:p>
        </w:tc>
        <w:tc>
          <w:tcPr>
            <w:tcW w:w="941" w:type="dxa"/>
            <w:tcBorders>
              <w:top w:val="single" w:sz="8" w:space="0" w:color="auto"/>
              <w:left w:val="nil"/>
              <w:bottom w:val="single" w:sz="4" w:space="0" w:color="auto"/>
              <w:right w:val="single" w:sz="8" w:space="0" w:color="auto"/>
            </w:tcBorders>
            <w:shd w:val="clear" w:color="auto" w:fill="7F7F7F" w:themeFill="text1" w:themeFillTint="80"/>
            <w:noWrap/>
            <w:vAlign w:val="center"/>
            <w:hideMark/>
          </w:tcPr>
          <w:p w14:paraId="4D859BA8" w14:textId="77777777" w:rsidR="00BC3B05" w:rsidRPr="00C45AA1" w:rsidRDefault="00BC3B05" w:rsidP="00BA1F5A">
            <w:pPr>
              <w:spacing w:before="120" w:line="240" w:lineRule="auto"/>
              <w:jc w:val="center"/>
              <w:rPr>
                <w:rFonts w:eastAsia="Times New Roman" w:cs="Arial"/>
                <w:b/>
                <w:bCs/>
                <w:color w:val="000000"/>
                <w:sz w:val="20"/>
                <w:szCs w:val="20"/>
                <w:lang w:eastAsia="en-AU"/>
              </w:rPr>
            </w:pPr>
            <w:r w:rsidRPr="00C45AA1">
              <w:rPr>
                <w:rFonts w:eastAsia="Times New Roman" w:cs="Arial"/>
                <w:b/>
                <w:bCs/>
                <w:color w:val="000000"/>
                <w:sz w:val="20"/>
                <w:szCs w:val="20"/>
                <w:lang w:eastAsia="en-AU"/>
              </w:rPr>
              <w:t>2011-12</w:t>
            </w:r>
          </w:p>
        </w:tc>
        <w:tc>
          <w:tcPr>
            <w:tcW w:w="941" w:type="dxa"/>
            <w:tcBorders>
              <w:top w:val="single" w:sz="8" w:space="0" w:color="auto"/>
              <w:left w:val="nil"/>
              <w:bottom w:val="single" w:sz="4" w:space="0" w:color="auto"/>
              <w:right w:val="single" w:sz="8" w:space="0" w:color="auto"/>
            </w:tcBorders>
            <w:shd w:val="clear" w:color="auto" w:fill="7F7F7F" w:themeFill="text1" w:themeFillTint="80"/>
            <w:vAlign w:val="center"/>
            <w:hideMark/>
          </w:tcPr>
          <w:p w14:paraId="19B16502" w14:textId="77777777" w:rsidR="00BC3B05" w:rsidRPr="00C45AA1" w:rsidRDefault="00BC3B05" w:rsidP="00BA1F5A">
            <w:pPr>
              <w:spacing w:before="120" w:line="240" w:lineRule="auto"/>
              <w:jc w:val="center"/>
              <w:rPr>
                <w:rFonts w:eastAsia="Times New Roman" w:cs="Arial"/>
                <w:b/>
                <w:bCs/>
                <w:color w:val="000000"/>
                <w:sz w:val="20"/>
                <w:szCs w:val="20"/>
                <w:lang w:eastAsia="en-AU"/>
              </w:rPr>
            </w:pPr>
            <w:r w:rsidRPr="00C45AA1">
              <w:rPr>
                <w:rFonts w:eastAsia="Times New Roman" w:cs="Arial"/>
                <w:b/>
                <w:bCs/>
                <w:color w:val="000000"/>
                <w:sz w:val="20"/>
                <w:szCs w:val="20"/>
                <w:lang w:eastAsia="en-AU"/>
              </w:rPr>
              <w:t>2012-13</w:t>
            </w:r>
          </w:p>
        </w:tc>
        <w:tc>
          <w:tcPr>
            <w:tcW w:w="941" w:type="dxa"/>
            <w:tcBorders>
              <w:top w:val="single" w:sz="8" w:space="0" w:color="auto"/>
              <w:left w:val="nil"/>
              <w:bottom w:val="single" w:sz="4" w:space="0" w:color="auto"/>
              <w:right w:val="single" w:sz="8" w:space="0" w:color="auto"/>
            </w:tcBorders>
            <w:shd w:val="clear" w:color="auto" w:fill="7F7F7F" w:themeFill="text1" w:themeFillTint="80"/>
            <w:vAlign w:val="center"/>
            <w:hideMark/>
          </w:tcPr>
          <w:p w14:paraId="457CC38F" w14:textId="77777777" w:rsidR="00BC3B05" w:rsidRPr="00C45AA1" w:rsidRDefault="00BC3B05" w:rsidP="00BA1F5A">
            <w:pPr>
              <w:spacing w:before="120" w:line="240" w:lineRule="auto"/>
              <w:jc w:val="center"/>
              <w:rPr>
                <w:rFonts w:eastAsia="Times New Roman" w:cs="Arial"/>
                <w:b/>
                <w:bCs/>
                <w:color w:val="000000"/>
                <w:sz w:val="20"/>
                <w:szCs w:val="20"/>
                <w:lang w:eastAsia="en-AU"/>
              </w:rPr>
            </w:pPr>
            <w:r w:rsidRPr="00C45AA1">
              <w:rPr>
                <w:rFonts w:eastAsia="Times New Roman" w:cs="Arial"/>
                <w:b/>
                <w:bCs/>
                <w:color w:val="000000"/>
                <w:sz w:val="20"/>
                <w:szCs w:val="20"/>
                <w:lang w:eastAsia="en-AU"/>
              </w:rPr>
              <w:t>2013-14</w:t>
            </w:r>
          </w:p>
        </w:tc>
        <w:tc>
          <w:tcPr>
            <w:tcW w:w="941" w:type="dxa"/>
            <w:tcBorders>
              <w:top w:val="single" w:sz="8" w:space="0" w:color="auto"/>
              <w:left w:val="nil"/>
              <w:bottom w:val="single" w:sz="4" w:space="0" w:color="auto"/>
              <w:right w:val="single" w:sz="8" w:space="0" w:color="auto"/>
            </w:tcBorders>
            <w:shd w:val="clear" w:color="auto" w:fill="7F7F7F" w:themeFill="text1" w:themeFillTint="80"/>
            <w:vAlign w:val="center"/>
            <w:hideMark/>
          </w:tcPr>
          <w:p w14:paraId="5E6729E0" w14:textId="77777777" w:rsidR="00BC3B05" w:rsidRPr="00C45AA1" w:rsidRDefault="00BC3B05" w:rsidP="00BA1F5A">
            <w:pPr>
              <w:spacing w:before="120" w:line="240" w:lineRule="auto"/>
              <w:jc w:val="center"/>
              <w:rPr>
                <w:rFonts w:eastAsia="Times New Roman" w:cs="Arial"/>
                <w:b/>
                <w:bCs/>
                <w:color w:val="000000"/>
                <w:sz w:val="20"/>
                <w:szCs w:val="20"/>
                <w:lang w:eastAsia="en-AU"/>
              </w:rPr>
            </w:pPr>
            <w:r w:rsidRPr="00C45AA1">
              <w:rPr>
                <w:rFonts w:eastAsia="Times New Roman" w:cs="Arial"/>
                <w:b/>
                <w:bCs/>
                <w:color w:val="000000"/>
                <w:sz w:val="20"/>
                <w:szCs w:val="20"/>
                <w:lang w:eastAsia="en-AU"/>
              </w:rPr>
              <w:t>2014-15</w:t>
            </w:r>
          </w:p>
        </w:tc>
        <w:tc>
          <w:tcPr>
            <w:tcW w:w="941" w:type="dxa"/>
            <w:tcBorders>
              <w:top w:val="single" w:sz="8" w:space="0" w:color="auto"/>
              <w:left w:val="nil"/>
              <w:bottom w:val="single" w:sz="4" w:space="0" w:color="auto"/>
              <w:right w:val="single" w:sz="8" w:space="0" w:color="auto"/>
            </w:tcBorders>
            <w:shd w:val="clear" w:color="auto" w:fill="7F7F7F" w:themeFill="text1" w:themeFillTint="80"/>
            <w:vAlign w:val="center"/>
            <w:hideMark/>
          </w:tcPr>
          <w:p w14:paraId="36BE69EA" w14:textId="77777777" w:rsidR="00BC3B05" w:rsidRPr="00C45AA1" w:rsidRDefault="00BC3B05" w:rsidP="00BA1F5A">
            <w:pPr>
              <w:spacing w:before="120" w:line="240" w:lineRule="auto"/>
              <w:jc w:val="center"/>
              <w:rPr>
                <w:rFonts w:eastAsia="Times New Roman" w:cs="Arial"/>
                <w:b/>
                <w:bCs/>
                <w:color w:val="000000"/>
                <w:sz w:val="20"/>
                <w:szCs w:val="20"/>
                <w:lang w:eastAsia="en-AU"/>
              </w:rPr>
            </w:pPr>
            <w:r w:rsidRPr="00C45AA1">
              <w:rPr>
                <w:rFonts w:eastAsia="Times New Roman" w:cs="Arial"/>
                <w:b/>
                <w:bCs/>
                <w:color w:val="000000"/>
                <w:sz w:val="20"/>
                <w:szCs w:val="20"/>
                <w:lang w:eastAsia="en-AU"/>
              </w:rPr>
              <w:t>2014-15</w:t>
            </w:r>
          </w:p>
        </w:tc>
        <w:tc>
          <w:tcPr>
            <w:tcW w:w="941" w:type="dxa"/>
            <w:tcBorders>
              <w:top w:val="single" w:sz="8" w:space="0" w:color="auto"/>
              <w:left w:val="nil"/>
              <w:bottom w:val="single" w:sz="4" w:space="0" w:color="auto"/>
              <w:right w:val="single" w:sz="8" w:space="0" w:color="auto"/>
            </w:tcBorders>
            <w:shd w:val="clear" w:color="auto" w:fill="7F7F7F" w:themeFill="text1" w:themeFillTint="80"/>
          </w:tcPr>
          <w:p w14:paraId="41F2134B" w14:textId="77777777" w:rsidR="00BC3B05" w:rsidRPr="00C45AA1" w:rsidRDefault="00C80C11" w:rsidP="00BC3B05">
            <w:pPr>
              <w:spacing w:before="120" w:line="240" w:lineRule="auto"/>
              <w:ind w:left="-83" w:firstLine="83"/>
              <w:jc w:val="center"/>
              <w:rPr>
                <w:rFonts w:eastAsia="Times New Roman" w:cs="Arial"/>
                <w:b/>
                <w:bCs/>
                <w:color w:val="000000"/>
                <w:sz w:val="20"/>
                <w:szCs w:val="20"/>
                <w:lang w:eastAsia="en-AU"/>
              </w:rPr>
            </w:pPr>
            <w:r>
              <w:rPr>
                <w:rFonts w:eastAsia="Times New Roman" w:cs="Arial"/>
                <w:b/>
                <w:bCs/>
                <w:color w:val="000000"/>
                <w:sz w:val="20"/>
                <w:szCs w:val="20"/>
                <w:lang w:eastAsia="en-AU"/>
              </w:rPr>
              <w:t>2016-17</w:t>
            </w:r>
          </w:p>
        </w:tc>
      </w:tr>
      <w:tr w:rsidR="00BC3B05" w:rsidRPr="00C45AA1" w14:paraId="20B5AB1C" w14:textId="77777777" w:rsidTr="00BA1F5A">
        <w:trPr>
          <w:trHeight w:val="270"/>
        </w:trPr>
        <w:tc>
          <w:tcPr>
            <w:tcW w:w="2459" w:type="dxa"/>
            <w:tcBorders>
              <w:top w:val="single" w:sz="4" w:space="0" w:color="auto"/>
              <w:left w:val="single" w:sz="12" w:space="0" w:color="auto"/>
              <w:bottom w:val="single" w:sz="8" w:space="0" w:color="auto"/>
              <w:right w:val="single" w:sz="8" w:space="0" w:color="auto"/>
            </w:tcBorders>
            <w:shd w:val="clear" w:color="auto" w:fill="auto"/>
            <w:noWrap/>
            <w:vAlign w:val="center"/>
            <w:hideMark/>
          </w:tcPr>
          <w:p w14:paraId="33243A39"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S64  LUPAA</w:t>
            </w:r>
          </w:p>
        </w:tc>
        <w:tc>
          <w:tcPr>
            <w:tcW w:w="941" w:type="dxa"/>
            <w:tcBorders>
              <w:top w:val="single" w:sz="4" w:space="0" w:color="auto"/>
              <w:left w:val="nil"/>
              <w:bottom w:val="single" w:sz="8" w:space="0" w:color="auto"/>
              <w:right w:val="single" w:sz="8" w:space="0" w:color="auto"/>
            </w:tcBorders>
            <w:shd w:val="clear" w:color="auto" w:fill="auto"/>
            <w:noWrap/>
            <w:vAlign w:val="center"/>
            <w:hideMark/>
          </w:tcPr>
          <w:p w14:paraId="0FDA7C3E"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29</w:t>
            </w:r>
          </w:p>
        </w:tc>
        <w:tc>
          <w:tcPr>
            <w:tcW w:w="941" w:type="dxa"/>
            <w:tcBorders>
              <w:top w:val="single" w:sz="4" w:space="0" w:color="auto"/>
              <w:left w:val="nil"/>
              <w:bottom w:val="single" w:sz="8" w:space="0" w:color="auto"/>
              <w:right w:val="single" w:sz="8" w:space="0" w:color="auto"/>
            </w:tcBorders>
            <w:shd w:val="clear" w:color="auto" w:fill="auto"/>
            <w:noWrap/>
            <w:vAlign w:val="center"/>
            <w:hideMark/>
          </w:tcPr>
          <w:p w14:paraId="4BDD20B4"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28</w:t>
            </w:r>
          </w:p>
        </w:tc>
        <w:tc>
          <w:tcPr>
            <w:tcW w:w="941" w:type="dxa"/>
            <w:tcBorders>
              <w:top w:val="single" w:sz="4" w:space="0" w:color="auto"/>
              <w:left w:val="nil"/>
              <w:bottom w:val="single" w:sz="8" w:space="0" w:color="auto"/>
              <w:right w:val="single" w:sz="8" w:space="0" w:color="auto"/>
            </w:tcBorders>
            <w:shd w:val="clear" w:color="auto" w:fill="auto"/>
            <w:noWrap/>
            <w:vAlign w:val="center"/>
            <w:hideMark/>
          </w:tcPr>
          <w:p w14:paraId="7D3C6C7C"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24</w:t>
            </w:r>
          </w:p>
        </w:tc>
        <w:tc>
          <w:tcPr>
            <w:tcW w:w="941" w:type="dxa"/>
            <w:tcBorders>
              <w:top w:val="single" w:sz="4" w:space="0" w:color="auto"/>
              <w:left w:val="nil"/>
              <w:bottom w:val="single" w:sz="8" w:space="0" w:color="auto"/>
              <w:right w:val="single" w:sz="8" w:space="0" w:color="auto"/>
            </w:tcBorders>
            <w:shd w:val="clear" w:color="auto" w:fill="auto"/>
            <w:vAlign w:val="center"/>
            <w:hideMark/>
          </w:tcPr>
          <w:p w14:paraId="121ABBBF"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17</w:t>
            </w:r>
          </w:p>
        </w:tc>
        <w:tc>
          <w:tcPr>
            <w:tcW w:w="941" w:type="dxa"/>
            <w:tcBorders>
              <w:top w:val="single" w:sz="4" w:space="0" w:color="auto"/>
              <w:left w:val="nil"/>
              <w:bottom w:val="single" w:sz="8" w:space="0" w:color="auto"/>
              <w:right w:val="single" w:sz="8" w:space="0" w:color="auto"/>
            </w:tcBorders>
            <w:shd w:val="clear" w:color="auto" w:fill="auto"/>
            <w:vAlign w:val="center"/>
            <w:hideMark/>
          </w:tcPr>
          <w:p w14:paraId="26A15B0A"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9</w:t>
            </w:r>
          </w:p>
        </w:tc>
        <w:tc>
          <w:tcPr>
            <w:tcW w:w="941" w:type="dxa"/>
            <w:tcBorders>
              <w:top w:val="single" w:sz="4" w:space="0" w:color="auto"/>
              <w:left w:val="nil"/>
              <w:bottom w:val="single" w:sz="8" w:space="0" w:color="auto"/>
              <w:right w:val="single" w:sz="8" w:space="0" w:color="auto"/>
            </w:tcBorders>
            <w:shd w:val="clear" w:color="auto" w:fill="auto"/>
            <w:vAlign w:val="center"/>
            <w:hideMark/>
          </w:tcPr>
          <w:p w14:paraId="172E6182"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12</w:t>
            </w:r>
          </w:p>
        </w:tc>
        <w:tc>
          <w:tcPr>
            <w:tcW w:w="941" w:type="dxa"/>
            <w:tcBorders>
              <w:top w:val="single" w:sz="4" w:space="0" w:color="auto"/>
              <w:left w:val="nil"/>
              <w:bottom w:val="single" w:sz="8" w:space="0" w:color="auto"/>
              <w:right w:val="single" w:sz="8" w:space="0" w:color="auto"/>
            </w:tcBorders>
            <w:shd w:val="clear" w:color="auto" w:fill="auto"/>
            <w:vAlign w:val="center"/>
            <w:hideMark/>
          </w:tcPr>
          <w:p w14:paraId="695F67A7"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w:t>
            </w:r>
          </w:p>
        </w:tc>
        <w:tc>
          <w:tcPr>
            <w:tcW w:w="941" w:type="dxa"/>
            <w:tcBorders>
              <w:top w:val="single" w:sz="4" w:space="0" w:color="auto"/>
              <w:left w:val="nil"/>
              <w:bottom w:val="single" w:sz="8" w:space="0" w:color="auto"/>
              <w:right w:val="single" w:sz="8" w:space="0" w:color="auto"/>
            </w:tcBorders>
          </w:tcPr>
          <w:p w14:paraId="0C18710D" w14:textId="77777777" w:rsidR="00BC3B05" w:rsidRPr="00C45AA1" w:rsidRDefault="00BC3B05" w:rsidP="00BC3B05">
            <w:pPr>
              <w:spacing w:before="120" w:line="240" w:lineRule="auto"/>
              <w:ind w:left="-83" w:firstLine="83"/>
              <w:jc w:val="right"/>
              <w:rPr>
                <w:rFonts w:eastAsia="Times New Roman" w:cs="Arial"/>
                <w:color w:val="000000"/>
                <w:sz w:val="20"/>
                <w:szCs w:val="20"/>
                <w:lang w:eastAsia="en-AU"/>
              </w:rPr>
            </w:pPr>
          </w:p>
        </w:tc>
      </w:tr>
      <w:tr w:rsidR="00BC3B05" w:rsidRPr="00C45AA1" w14:paraId="63922B62" w14:textId="77777777" w:rsidTr="00BA1F5A">
        <w:trPr>
          <w:trHeight w:val="270"/>
        </w:trPr>
        <w:tc>
          <w:tcPr>
            <w:tcW w:w="2459" w:type="dxa"/>
            <w:tcBorders>
              <w:top w:val="nil"/>
              <w:left w:val="single" w:sz="12" w:space="0" w:color="auto"/>
              <w:bottom w:val="single" w:sz="8" w:space="0" w:color="auto"/>
              <w:right w:val="single" w:sz="8" w:space="0" w:color="auto"/>
            </w:tcBorders>
            <w:shd w:val="clear" w:color="auto" w:fill="auto"/>
            <w:noWrap/>
            <w:vAlign w:val="center"/>
            <w:hideMark/>
          </w:tcPr>
          <w:p w14:paraId="74720B2A"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S48 EMPCA</w:t>
            </w:r>
          </w:p>
        </w:tc>
        <w:tc>
          <w:tcPr>
            <w:tcW w:w="941" w:type="dxa"/>
            <w:tcBorders>
              <w:top w:val="nil"/>
              <w:left w:val="nil"/>
              <w:bottom w:val="single" w:sz="8" w:space="0" w:color="auto"/>
              <w:right w:val="single" w:sz="8" w:space="0" w:color="auto"/>
            </w:tcBorders>
            <w:shd w:val="clear" w:color="auto" w:fill="auto"/>
            <w:noWrap/>
            <w:vAlign w:val="center"/>
            <w:hideMark/>
          </w:tcPr>
          <w:p w14:paraId="56233AB9"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2090BDC6"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6BCD245A"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37F87F37"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533537D2"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3BAB6122"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w:t>
            </w:r>
          </w:p>
        </w:tc>
        <w:tc>
          <w:tcPr>
            <w:tcW w:w="941" w:type="dxa"/>
            <w:tcBorders>
              <w:top w:val="nil"/>
              <w:left w:val="nil"/>
              <w:bottom w:val="single" w:sz="8" w:space="0" w:color="auto"/>
              <w:right w:val="single" w:sz="8" w:space="0" w:color="auto"/>
            </w:tcBorders>
            <w:shd w:val="clear" w:color="auto" w:fill="auto"/>
            <w:vAlign w:val="center"/>
            <w:hideMark/>
          </w:tcPr>
          <w:p w14:paraId="38BA3A22"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w:t>
            </w:r>
          </w:p>
        </w:tc>
        <w:tc>
          <w:tcPr>
            <w:tcW w:w="941" w:type="dxa"/>
            <w:tcBorders>
              <w:top w:val="nil"/>
              <w:left w:val="nil"/>
              <w:bottom w:val="single" w:sz="8" w:space="0" w:color="auto"/>
              <w:right w:val="single" w:sz="8" w:space="0" w:color="auto"/>
            </w:tcBorders>
          </w:tcPr>
          <w:p w14:paraId="5B54E997" w14:textId="77777777" w:rsidR="00BC3B05" w:rsidRPr="00C45AA1" w:rsidRDefault="00BC3B05" w:rsidP="00BC3B05">
            <w:pPr>
              <w:spacing w:before="120" w:line="240" w:lineRule="auto"/>
              <w:ind w:left="-83" w:firstLine="83"/>
              <w:jc w:val="right"/>
              <w:rPr>
                <w:rFonts w:eastAsia="Times New Roman" w:cs="Arial"/>
                <w:color w:val="000000"/>
                <w:sz w:val="20"/>
                <w:szCs w:val="20"/>
                <w:lang w:eastAsia="en-AU"/>
              </w:rPr>
            </w:pPr>
          </w:p>
        </w:tc>
      </w:tr>
      <w:tr w:rsidR="00BC3B05" w:rsidRPr="00C45AA1" w14:paraId="13F8949F" w14:textId="77777777" w:rsidTr="00BA1F5A">
        <w:trPr>
          <w:trHeight w:val="270"/>
        </w:trPr>
        <w:tc>
          <w:tcPr>
            <w:tcW w:w="2459" w:type="dxa"/>
            <w:tcBorders>
              <w:top w:val="nil"/>
              <w:left w:val="single" w:sz="12" w:space="0" w:color="auto"/>
              <w:bottom w:val="single" w:sz="8" w:space="0" w:color="auto"/>
              <w:right w:val="single" w:sz="8" w:space="0" w:color="auto"/>
            </w:tcBorders>
            <w:shd w:val="clear" w:color="auto" w:fill="auto"/>
            <w:noWrap/>
            <w:vAlign w:val="center"/>
            <w:hideMark/>
          </w:tcPr>
          <w:p w14:paraId="79972D28"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S96 Strata Titles</w:t>
            </w:r>
          </w:p>
        </w:tc>
        <w:tc>
          <w:tcPr>
            <w:tcW w:w="941" w:type="dxa"/>
            <w:tcBorders>
              <w:top w:val="nil"/>
              <w:left w:val="nil"/>
              <w:bottom w:val="single" w:sz="8" w:space="0" w:color="auto"/>
              <w:right w:val="single" w:sz="8" w:space="0" w:color="auto"/>
            </w:tcBorders>
            <w:shd w:val="clear" w:color="auto" w:fill="auto"/>
            <w:noWrap/>
            <w:vAlign w:val="center"/>
            <w:hideMark/>
          </w:tcPr>
          <w:p w14:paraId="37AC6093"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6B01C9C8"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3EA6EA74"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247D3417"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w:t>
            </w:r>
          </w:p>
        </w:tc>
        <w:tc>
          <w:tcPr>
            <w:tcW w:w="941" w:type="dxa"/>
            <w:tcBorders>
              <w:top w:val="nil"/>
              <w:left w:val="nil"/>
              <w:bottom w:val="single" w:sz="8" w:space="0" w:color="auto"/>
              <w:right w:val="single" w:sz="8" w:space="0" w:color="auto"/>
            </w:tcBorders>
            <w:shd w:val="clear" w:color="auto" w:fill="auto"/>
            <w:vAlign w:val="center"/>
            <w:hideMark/>
          </w:tcPr>
          <w:p w14:paraId="724428EC"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3BE2EC62"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0B932ED1"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tcPr>
          <w:p w14:paraId="2877B8C8" w14:textId="77777777" w:rsidR="00BC3B05" w:rsidRPr="00C45AA1" w:rsidRDefault="00C80C11" w:rsidP="00BC3B05">
            <w:pPr>
              <w:spacing w:before="120" w:line="240" w:lineRule="auto"/>
              <w:ind w:left="-83" w:firstLine="83"/>
              <w:jc w:val="right"/>
              <w:rPr>
                <w:rFonts w:eastAsia="Times New Roman" w:cs="Arial"/>
                <w:color w:val="000000"/>
                <w:sz w:val="20"/>
                <w:szCs w:val="20"/>
                <w:lang w:eastAsia="en-AU"/>
              </w:rPr>
            </w:pPr>
            <w:r>
              <w:rPr>
                <w:rFonts w:eastAsia="Times New Roman" w:cs="Arial"/>
                <w:color w:val="000000"/>
                <w:sz w:val="20"/>
                <w:szCs w:val="20"/>
                <w:lang w:eastAsia="en-AU"/>
              </w:rPr>
              <w:t>1</w:t>
            </w:r>
          </w:p>
        </w:tc>
      </w:tr>
      <w:tr w:rsidR="00BC3B05" w:rsidRPr="00C45AA1" w14:paraId="2A6C3CD2" w14:textId="77777777" w:rsidTr="00BA1F5A">
        <w:trPr>
          <w:trHeight w:val="270"/>
        </w:trPr>
        <w:tc>
          <w:tcPr>
            <w:tcW w:w="2459" w:type="dxa"/>
            <w:tcBorders>
              <w:top w:val="nil"/>
              <w:left w:val="single" w:sz="12" w:space="0" w:color="auto"/>
              <w:bottom w:val="single" w:sz="8" w:space="0" w:color="auto"/>
              <w:right w:val="single" w:sz="8" w:space="0" w:color="auto"/>
            </w:tcBorders>
            <w:shd w:val="clear" w:color="auto" w:fill="auto"/>
            <w:noWrap/>
            <w:vAlign w:val="center"/>
            <w:hideMark/>
          </w:tcPr>
          <w:p w14:paraId="426A4192"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S264 Water Management</w:t>
            </w:r>
          </w:p>
        </w:tc>
        <w:tc>
          <w:tcPr>
            <w:tcW w:w="941" w:type="dxa"/>
            <w:tcBorders>
              <w:top w:val="nil"/>
              <w:left w:val="nil"/>
              <w:bottom w:val="single" w:sz="8" w:space="0" w:color="auto"/>
              <w:right w:val="single" w:sz="8" w:space="0" w:color="auto"/>
            </w:tcBorders>
            <w:shd w:val="clear" w:color="auto" w:fill="auto"/>
            <w:noWrap/>
            <w:vAlign w:val="center"/>
            <w:hideMark/>
          </w:tcPr>
          <w:p w14:paraId="01626585"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36DD4CE0"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62DAF1A2"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0474CB5E"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0FAA7DC3"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1AA7668D"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2315F85B"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tcPr>
          <w:p w14:paraId="1CE57954" w14:textId="77777777" w:rsidR="00BC3B05" w:rsidRPr="00C45AA1" w:rsidRDefault="00BC3B05" w:rsidP="00BC3B05">
            <w:pPr>
              <w:spacing w:before="120" w:line="240" w:lineRule="auto"/>
              <w:ind w:left="-83" w:firstLine="83"/>
              <w:rPr>
                <w:rFonts w:eastAsia="Times New Roman" w:cs="Arial"/>
                <w:color w:val="000000"/>
                <w:sz w:val="20"/>
                <w:szCs w:val="20"/>
                <w:lang w:eastAsia="en-AU"/>
              </w:rPr>
            </w:pPr>
          </w:p>
        </w:tc>
      </w:tr>
      <w:tr w:rsidR="00BC3B05" w:rsidRPr="00C45AA1" w14:paraId="79198FBA" w14:textId="77777777" w:rsidTr="00BA1F5A">
        <w:trPr>
          <w:trHeight w:val="270"/>
        </w:trPr>
        <w:tc>
          <w:tcPr>
            <w:tcW w:w="2459" w:type="dxa"/>
            <w:tcBorders>
              <w:top w:val="nil"/>
              <w:left w:val="single" w:sz="12" w:space="0" w:color="auto"/>
              <w:bottom w:val="single" w:sz="8" w:space="0" w:color="auto"/>
              <w:right w:val="single" w:sz="8" w:space="0" w:color="auto"/>
            </w:tcBorders>
            <w:shd w:val="clear" w:color="auto" w:fill="auto"/>
            <w:noWrap/>
            <w:vAlign w:val="center"/>
            <w:hideMark/>
          </w:tcPr>
          <w:p w14:paraId="15660BB3"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P12 S218A Building Act</w:t>
            </w:r>
          </w:p>
        </w:tc>
        <w:tc>
          <w:tcPr>
            <w:tcW w:w="941" w:type="dxa"/>
            <w:tcBorders>
              <w:top w:val="nil"/>
              <w:left w:val="nil"/>
              <w:bottom w:val="single" w:sz="8" w:space="0" w:color="auto"/>
              <w:right w:val="single" w:sz="8" w:space="0" w:color="auto"/>
            </w:tcBorders>
            <w:shd w:val="clear" w:color="auto" w:fill="auto"/>
            <w:noWrap/>
            <w:vAlign w:val="center"/>
            <w:hideMark/>
          </w:tcPr>
          <w:p w14:paraId="06DB897A"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2F35D0AF"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noWrap/>
            <w:vAlign w:val="center"/>
            <w:hideMark/>
          </w:tcPr>
          <w:p w14:paraId="3E93885D"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3CE339DE"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742FCA91" w14:textId="77777777" w:rsidR="00BC3B05" w:rsidRPr="00C45AA1" w:rsidRDefault="00BC3B05" w:rsidP="00BA1F5A">
            <w:pPr>
              <w:spacing w:before="120" w:line="240" w:lineRule="auto"/>
              <w:jc w:val="right"/>
              <w:rPr>
                <w:rFonts w:eastAsia="Times New Roman" w:cs="Arial"/>
                <w:color w:val="000000"/>
                <w:sz w:val="20"/>
                <w:szCs w:val="20"/>
                <w:lang w:eastAsia="en-AU"/>
              </w:rPr>
            </w:pPr>
            <w:r w:rsidRPr="00C45AA1">
              <w:rPr>
                <w:rFonts w:eastAsia="Times New Roman" w:cs="Arial"/>
                <w:color w:val="000000"/>
                <w:sz w:val="20"/>
                <w:szCs w:val="20"/>
                <w:lang w:eastAsia="en-AU"/>
              </w:rPr>
              <w:t>1</w:t>
            </w:r>
          </w:p>
        </w:tc>
        <w:tc>
          <w:tcPr>
            <w:tcW w:w="941" w:type="dxa"/>
            <w:tcBorders>
              <w:top w:val="nil"/>
              <w:left w:val="nil"/>
              <w:bottom w:val="single" w:sz="8" w:space="0" w:color="auto"/>
              <w:right w:val="single" w:sz="8" w:space="0" w:color="auto"/>
            </w:tcBorders>
            <w:shd w:val="clear" w:color="auto" w:fill="auto"/>
            <w:vAlign w:val="center"/>
            <w:hideMark/>
          </w:tcPr>
          <w:p w14:paraId="687B2378"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shd w:val="clear" w:color="auto" w:fill="auto"/>
            <w:vAlign w:val="center"/>
            <w:hideMark/>
          </w:tcPr>
          <w:p w14:paraId="570CAA1A" w14:textId="77777777" w:rsidR="00BC3B05" w:rsidRPr="00C45AA1" w:rsidRDefault="00BC3B05" w:rsidP="00BA1F5A">
            <w:pPr>
              <w:spacing w:before="120" w:line="240" w:lineRule="auto"/>
              <w:rPr>
                <w:rFonts w:eastAsia="Times New Roman" w:cs="Arial"/>
                <w:color w:val="000000"/>
                <w:sz w:val="20"/>
                <w:szCs w:val="20"/>
                <w:lang w:eastAsia="en-AU"/>
              </w:rPr>
            </w:pPr>
            <w:r w:rsidRPr="00C45AA1">
              <w:rPr>
                <w:rFonts w:eastAsia="Times New Roman" w:cs="Arial"/>
                <w:color w:val="000000"/>
                <w:sz w:val="20"/>
                <w:szCs w:val="20"/>
                <w:lang w:eastAsia="en-AU"/>
              </w:rPr>
              <w:t> </w:t>
            </w:r>
          </w:p>
        </w:tc>
        <w:tc>
          <w:tcPr>
            <w:tcW w:w="941" w:type="dxa"/>
            <w:tcBorders>
              <w:top w:val="nil"/>
              <w:left w:val="nil"/>
              <w:bottom w:val="single" w:sz="8" w:space="0" w:color="auto"/>
              <w:right w:val="single" w:sz="8" w:space="0" w:color="auto"/>
            </w:tcBorders>
          </w:tcPr>
          <w:p w14:paraId="1BE69CC9" w14:textId="77777777" w:rsidR="00BC3B05" w:rsidRPr="00C45AA1" w:rsidRDefault="00BC3B05" w:rsidP="00BC3B05">
            <w:pPr>
              <w:spacing w:before="120" w:line="240" w:lineRule="auto"/>
              <w:ind w:left="-83" w:firstLine="83"/>
              <w:rPr>
                <w:rFonts w:eastAsia="Times New Roman" w:cs="Arial"/>
                <w:color w:val="000000"/>
                <w:sz w:val="20"/>
                <w:szCs w:val="20"/>
                <w:lang w:eastAsia="en-AU"/>
              </w:rPr>
            </w:pPr>
          </w:p>
        </w:tc>
      </w:tr>
      <w:tr w:rsidR="00BC3B05" w:rsidRPr="00C45AA1" w14:paraId="5B01018A" w14:textId="77777777" w:rsidTr="00BA1F5A">
        <w:trPr>
          <w:trHeight w:val="270"/>
        </w:trPr>
        <w:tc>
          <w:tcPr>
            <w:tcW w:w="2459" w:type="dxa"/>
            <w:tcBorders>
              <w:top w:val="single" w:sz="8" w:space="0" w:color="auto"/>
              <w:left w:val="single" w:sz="12" w:space="0" w:color="auto"/>
              <w:bottom w:val="single" w:sz="8" w:space="0" w:color="auto"/>
              <w:right w:val="single" w:sz="8" w:space="0" w:color="auto"/>
            </w:tcBorders>
            <w:shd w:val="clear" w:color="auto" w:fill="auto"/>
            <w:noWrap/>
            <w:vAlign w:val="center"/>
            <w:hideMark/>
          </w:tcPr>
          <w:p w14:paraId="64ABC210" w14:textId="77777777" w:rsidR="00BC3B05" w:rsidRPr="00C45AA1" w:rsidRDefault="00BC3B05" w:rsidP="00C80C11">
            <w:pPr>
              <w:spacing w:before="120" w:line="240" w:lineRule="auto"/>
              <w:rPr>
                <w:rFonts w:eastAsia="Times New Roman" w:cs="Arial"/>
                <w:b/>
                <w:bCs/>
                <w:color w:val="000000"/>
                <w:sz w:val="20"/>
                <w:szCs w:val="20"/>
                <w:lang w:eastAsia="en-AU"/>
              </w:rPr>
            </w:pPr>
            <w:r w:rsidRPr="00C45AA1">
              <w:rPr>
                <w:rFonts w:eastAsia="Times New Roman" w:cs="Arial"/>
                <w:b/>
                <w:bCs/>
                <w:color w:val="000000"/>
                <w:sz w:val="20"/>
                <w:szCs w:val="20"/>
                <w:lang w:eastAsia="en-AU"/>
              </w:rPr>
              <w:t>Total</w:t>
            </w:r>
          </w:p>
        </w:tc>
        <w:tc>
          <w:tcPr>
            <w:tcW w:w="9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40C471" w14:textId="77777777" w:rsidR="00BC3B05" w:rsidRPr="00C45AA1" w:rsidRDefault="00BC3B05" w:rsidP="00BA1F5A">
            <w:pPr>
              <w:spacing w:before="120" w:line="240" w:lineRule="auto"/>
              <w:jc w:val="right"/>
              <w:rPr>
                <w:rFonts w:eastAsia="Times New Roman" w:cs="Arial"/>
                <w:b/>
                <w:bCs/>
                <w:color w:val="000000"/>
                <w:sz w:val="20"/>
                <w:szCs w:val="20"/>
                <w:lang w:eastAsia="en-AU"/>
              </w:rPr>
            </w:pPr>
            <w:r w:rsidRPr="00C45AA1">
              <w:rPr>
                <w:rFonts w:eastAsia="Times New Roman" w:cs="Arial"/>
                <w:b/>
                <w:bCs/>
                <w:color w:val="000000"/>
                <w:sz w:val="20"/>
                <w:szCs w:val="20"/>
                <w:lang w:eastAsia="en-AU"/>
              </w:rPr>
              <w:t>29</w:t>
            </w:r>
          </w:p>
        </w:tc>
        <w:tc>
          <w:tcPr>
            <w:tcW w:w="941" w:type="dxa"/>
            <w:tcBorders>
              <w:top w:val="single" w:sz="8" w:space="0" w:color="auto"/>
              <w:left w:val="nil"/>
              <w:bottom w:val="single" w:sz="8" w:space="0" w:color="auto"/>
              <w:right w:val="single" w:sz="8" w:space="0" w:color="auto"/>
            </w:tcBorders>
            <w:shd w:val="clear" w:color="auto" w:fill="auto"/>
            <w:noWrap/>
            <w:vAlign w:val="center"/>
            <w:hideMark/>
          </w:tcPr>
          <w:p w14:paraId="4BBCFAB7" w14:textId="77777777" w:rsidR="00BC3B05" w:rsidRPr="00C45AA1" w:rsidRDefault="00BC3B05" w:rsidP="00BA1F5A">
            <w:pPr>
              <w:spacing w:before="120" w:line="240" w:lineRule="auto"/>
              <w:jc w:val="right"/>
              <w:rPr>
                <w:rFonts w:eastAsia="Times New Roman" w:cs="Arial"/>
                <w:b/>
                <w:bCs/>
                <w:color w:val="000000"/>
                <w:sz w:val="20"/>
                <w:szCs w:val="20"/>
                <w:lang w:eastAsia="en-AU"/>
              </w:rPr>
            </w:pPr>
            <w:r w:rsidRPr="00C45AA1">
              <w:rPr>
                <w:rFonts w:eastAsia="Times New Roman" w:cs="Arial"/>
                <w:b/>
                <w:bCs/>
                <w:color w:val="000000"/>
                <w:sz w:val="20"/>
                <w:szCs w:val="20"/>
                <w:lang w:eastAsia="en-AU"/>
              </w:rPr>
              <w:t>28</w:t>
            </w:r>
          </w:p>
        </w:tc>
        <w:tc>
          <w:tcPr>
            <w:tcW w:w="941" w:type="dxa"/>
            <w:tcBorders>
              <w:top w:val="single" w:sz="8" w:space="0" w:color="auto"/>
              <w:left w:val="nil"/>
              <w:bottom w:val="single" w:sz="8" w:space="0" w:color="auto"/>
              <w:right w:val="single" w:sz="8" w:space="0" w:color="auto"/>
            </w:tcBorders>
            <w:shd w:val="clear" w:color="auto" w:fill="auto"/>
            <w:noWrap/>
            <w:vAlign w:val="center"/>
            <w:hideMark/>
          </w:tcPr>
          <w:p w14:paraId="2BEB2C41" w14:textId="77777777" w:rsidR="00BC3B05" w:rsidRPr="00C45AA1" w:rsidRDefault="00BC3B05" w:rsidP="00BA1F5A">
            <w:pPr>
              <w:spacing w:before="120" w:line="240" w:lineRule="auto"/>
              <w:jc w:val="right"/>
              <w:rPr>
                <w:rFonts w:eastAsia="Times New Roman" w:cs="Arial"/>
                <w:b/>
                <w:bCs/>
                <w:color w:val="000000"/>
                <w:sz w:val="20"/>
                <w:szCs w:val="20"/>
                <w:lang w:eastAsia="en-AU"/>
              </w:rPr>
            </w:pPr>
            <w:r w:rsidRPr="00C45AA1">
              <w:rPr>
                <w:rFonts w:eastAsia="Times New Roman" w:cs="Arial"/>
                <w:b/>
                <w:bCs/>
                <w:color w:val="000000"/>
                <w:sz w:val="20"/>
                <w:szCs w:val="20"/>
                <w:lang w:eastAsia="en-AU"/>
              </w:rPr>
              <w:t>24</w:t>
            </w:r>
          </w:p>
        </w:tc>
        <w:tc>
          <w:tcPr>
            <w:tcW w:w="941" w:type="dxa"/>
            <w:tcBorders>
              <w:top w:val="single" w:sz="8" w:space="0" w:color="auto"/>
              <w:left w:val="nil"/>
              <w:bottom w:val="single" w:sz="8" w:space="0" w:color="auto"/>
              <w:right w:val="single" w:sz="8" w:space="0" w:color="auto"/>
            </w:tcBorders>
            <w:shd w:val="clear" w:color="auto" w:fill="auto"/>
            <w:noWrap/>
            <w:vAlign w:val="center"/>
            <w:hideMark/>
          </w:tcPr>
          <w:p w14:paraId="780D710F" w14:textId="77777777" w:rsidR="00BC3B05" w:rsidRPr="00C45AA1" w:rsidRDefault="00BC3B05" w:rsidP="00BA1F5A">
            <w:pPr>
              <w:spacing w:before="120" w:line="240" w:lineRule="auto"/>
              <w:jc w:val="right"/>
              <w:rPr>
                <w:rFonts w:eastAsia="Times New Roman" w:cs="Arial"/>
                <w:b/>
                <w:bCs/>
                <w:color w:val="000000"/>
                <w:sz w:val="20"/>
                <w:szCs w:val="20"/>
                <w:lang w:eastAsia="en-AU"/>
              </w:rPr>
            </w:pPr>
            <w:r w:rsidRPr="00C45AA1">
              <w:rPr>
                <w:rFonts w:eastAsia="Times New Roman" w:cs="Arial"/>
                <w:b/>
                <w:bCs/>
                <w:color w:val="000000"/>
                <w:sz w:val="20"/>
                <w:szCs w:val="20"/>
                <w:lang w:eastAsia="en-AU"/>
              </w:rPr>
              <w:t>18</w:t>
            </w:r>
          </w:p>
        </w:tc>
        <w:tc>
          <w:tcPr>
            <w:tcW w:w="941" w:type="dxa"/>
            <w:tcBorders>
              <w:top w:val="single" w:sz="8" w:space="0" w:color="auto"/>
              <w:left w:val="nil"/>
              <w:bottom w:val="single" w:sz="8" w:space="0" w:color="auto"/>
              <w:right w:val="single" w:sz="8" w:space="0" w:color="auto"/>
            </w:tcBorders>
            <w:shd w:val="clear" w:color="auto" w:fill="auto"/>
            <w:noWrap/>
            <w:vAlign w:val="center"/>
            <w:hideMark/>
          </w:tcPr>
          <w:p w14:paraId="36B7362D" w14:textId="77777777" w:rsidR="00BC3B05" w:rsidRPr="00C45AA1" w:rsidRDefault="00BC3B05" w:rsidP="00BA1F5A">
            <w:pPr>
              <w:spacing w:before="120" w:line="240" w:lineRule="auto"/>
              <w:jc w:val="right"/>
              <w:rPr>
                <w:rFonts w:eastAsia="Times New Roman" w:cs="Arial"/>
                <w:b/>
                <w:bCs/>
                <w:color w:val="000000"/>
                <w:sz w:val="20"/>
                <w:szCs w:val="20"/>
                <w:lang w:eastAsia="en-AU"/>
              </w:rPr>
            </w:pPr>
            <w:r w:rsidRPr="00C45AA1">
              <w:rPr>
                <w:rFonts w:eastAsia="Times New Roman" w:cs="Arial"/>
                <w:b/>
                <w:bCs/>
                <w:color w:val="000000"/>
                <w:sz w:val="20"/>
                <w:szCs w:val="20"/>
                <w:lang w:eastAsia="en-AU"/>
              </w:rPr>
              <w:t>10</w:t>
            </w:r>
          </w:p>
        </w:tc>
        <w:tc>
          <w:tcPr>
            <w:tcW w:w="941" w:type="dxa"/>
            <w:tcBorders>
              <w:top w:val="single" w:sz="8" w:space="0" w:color="auto"/>
              <w:left w:val="nil"/>
              <w:bottom w:val="single" w:sz="8" w:space="0" w:color="auto"/>
              <w:right w:val="single" w:sz="8" w:space="0" w:color="auto"/>
            </w:tcBorders>
            <w:shd w:val="clear" w:color="auto" w:fill="auto"/>
            <w:noWrap/>
            <w:vAlign w:val="center"/>
            <w:hideMark/>
          </w:tcPr>
          <w:p w14:paraId="2DA61B37" w14:textId="77777777" w:rsidR="00BC3B05" w:rsidRPr="00C45AA1" w:rsidRDefault="00BC3B05" w:rsidP="00BA1F5A">
            <w:pPr>
              <w:spacing w:before="120" w:line="240" w:lineRule="auto"/>
              <w:jc w:val="right"/>
              <w:rPr>
                <w:rFonts w:eastAsia="Times New Roman" w:cs="Arial"/>
                <w:b/>
                <w:bCs/>
                <w:color w:val="000000"/>
                <w:sz w:val="20"/>
                <w:szCs w:val="20"/>
                <w:lang w:eastAsia="en-AU"/>
              </w:rPr>
            </w:pPr>
            <w:r w:rsidRPr="00C45AA1">
              <w:rPr>
                <w:rFonts w:eastAsia="Times New Roman" w:cs="Arial"/>
                <w:b/>
                <w:bCs/>
                <w:color w:val="000000"/>
                <w:sz w:val="20"/>
                <w:szCs w:val="20"/>
                <w:lang w:eastAsia="en-AU"/>
              </w:rPr>
              <w:t>13</w:t>
            </w:r>
          </w:p>
        </w:tc>
        <w:tc>
          <w:tcPr>
            <w:tcW w:w="941" w:type="dxa"/>
            <w:tcBorders>
              <w:top w:val="single" w:sz="8" w:space="0" w:color="auto"/>
              <w:left w:val="nil"/>
              <w:bottom w:val="single" w:sz="8" w:space="0" w:color="auto"/>
              <w:right w:val="single" w:sz="8" w:space="0" w:color="auto"/>
            </w:tcBorders>
            <w:shd w:val="clear" w:color="auto" w:fill="auto"/>
            <w:noWrap/>
            <w:vAlign w:val="center"/>
            <w:hideMark/>
          </w:tcPr>
          <w:p w14:paraId="586ECFAA" w14:textId="77777777" w:rsidR="00BC3B05" w:rsidRPr="00C45AA1" w:rsidRDefault="00BC3B05" w:rsidP="00BA1F5A">
            <w:pPr>
              <w:spacing w:before="120" w:line="240" w:lineRule="auto"/>
              <w:jc w:val="right"/>
              <w:rPr>
                <w:rFonts w:eastAsia="Times New Roman" w:cs="Arial"/>
                <w:b/>
                <w:bCs/>
                <w:color w:val="000000"/>
                <w:sz w:val="20"/>
                <w:szCs w:val="20"/>
                <w:lang w:eastAsia="en-AU"/>
              </w:rPr>
            </w:pPr>
            <w:r w:rsidRPr="00C45AA1">
              <w:rPr>
                <w:rFonts w:eastAsia="Times New Roman" w:cs="Arial"/>
                <w:b/>
                <w:bCs/>
                <w:color w:val="000000"/>
                <w:sz w:val="20"/>
                <w:szCs w:val="20"/>
                <w:lang w:eastAsia="en-AU"/>
              </w:rPr>
              <w:t>2</w:t>
            </w:r>
          </w:p>
        </w:tc>
        <w:tc>
          <w:tcPr>
            <w:tcW w:w="941" w:type="dxa"/>
            <w:tcBorders>
              <w:top w:val="single" w:sz="8" w:space="0" w:color="auto"/>
              <w:left w:val="nil"/>
              <w:bottom w:val="single" w:sz="8" w:space="0" w:color="auto"/>
              <w:right w:val="single" w:sz="8" w:space="0" w:color="auto"/>
            </w:tcBorders>
          </w:tcPr>
          <w:p w14:paraId="2E219FED" w14:textId="77777777" w:rsidR="00BC3B05" w:rsidRPr="00C45AA1" w:rsidRDefault="00C80C11" w:rsidP="00BC3B05">
            <w:pPr>
              <w:spacing w:before="120" w:line="240" w:lineRule="auto"/>
              <w:ind w:left="-83" w:firstLine="83"/>
              <w:jc w:val="right"/>
              <w:rPr>
                <w:rFonts w:eastAsia="Times New Roman" w:cs="Arial"/>
                <w:b/>
                <w:bCs/>
                <w:color w:val="000000"/>
                <w:sz w:val="20"/>
                <w:szCs w:val="20"/>
                <w:lang w:eastAsia="en-AU"/>
              </w:rPr>
            </w:pPr>
            <w:r>
              <w:rPr>
                <w:rFonts w:eastAsia="Times New Roman" w:cs="Arial"/>
                <w:b/>
                <w:bCs/>
                <w:color w:val="000000"/>
                <w:sz w:val="20"/>
                <w:szCs w:val="20"/>
                <w:lang w:eastAsia="en-AU"/>
              </w:rPr>
              <w:t>1</w:t>
            </w:r>
          </w:p>
        </w:tc>
      </w:tr>
    </w:tbl>
    <w:p w14:paraId="50A4FF0C" w14:textId="77777777" w:rsidR="00022058" w:rsidRDefault="00022058" w:rsidP="00C37155">
      <w:pPr>
        <w:ind w:left="567"/>
        <w:rPr>
          <w:sz w:val="24"/>
        </w:rPr>
      </w:pPr>
    </w:p>
    <w:tbl>
      <w:tblPr>
        <w:tblW w:w="9977"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449"/>
        <w:gridCol w:w="941"/>
        <w:gridCol w:w="941"/>
        <w:gridCol w:w="941"/>
        <w:gridCol w:w="941"/>
        <w:gridCol w:w="941"/>
        <w:gridCol w:w="941"/>
        <w:gridCol w:w="941"/>
        <w:gridCol w:w="941"/>
      </w:tblGrid>
      <w:tr w:rsidR="00BA1F5A" w:rsidRPr="003E0411" w14:paraId="32428E1B" w14:textId="77777777" w:rsidTr="00753E8D">
        <w:trPr>
          <w:trHeight w:val="255"/>
        </w:trPr>
        <w:tc>
          <w:tcPr>
            <w:tcW w:w="2449" w:type="dxa"/>
            <w:shd w:val="clear" w:color="auto" w:fill="7F7F7F" w:themeFill="text1" w:themeFillTint="80"/>
            <w:noWrap/>
            <w:vAlign w:val="bottom"/>
            <w:hideMark/>
          </w:tcPr>
          <w:p w14:paraId="64D9491F" w14:textId="77777777" w:rsidR="00BA1F5A" w:rsidRPr="003E0411" w:rsidRDefault="00BA1F5A" w:rsidP="00BA1F5A">
            <w:pPr>
              <w:spacing w:before="120" w:line="240" w:lineRule="auto"/>
              <w:rPr>
                <w:rFonts w:eastAsia="Times New Roman" w:cs="Arial"/>
                <w:b/>
                <w:bCs/>
                <w:sz w:val="20"/>
                <w:szCs w:val="20"/>
                <w:lang w:eastAsia="en-AU"/>
              </w:rPr>
            </w:pPr>
            <w:r w:rsidRPr="003E0411">
              <w:rPr>
                <w:rFonts w:eastAsia="Times New Roman" w:cs="Arial"/>
                <w:b/>
                <w:bCs/>
                <w:sz w:val="20"/>
                <w:szCs w:val="20"/>
                <w:lang w:eastAsia="en-AU"/>
              </w:rPr>
              <w:t>Decision Types</w:t>
            </w:r>
          </w:p>
        </w:tc>
        <w:tc>
          <w:tcPr>
            <w:tcW w:w="941" w:type="dxa"/>
            <w:shd w:val="clear" w:color="auto" w:fill="7F7F7F" w:themeFill="text1" w:themeFillTint="80"/>
            <w:noWrap/>
            <w:vAlign w:val="bottom"/>
            <w:hideMark/>
          </w:tcPr>
          <w:p w14:paraId="7ED71B53" w14:textId="77777777" w:rsidR="00BA1F5A" w:rsidRPr="003E0411" w:rsidRDefault="00BA1F5A" w:rsidP="00BA1F5A">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2009-10</w:t>
            </w:r>
          </w:p>
        </w:tc>
        <w:tc>
          <w:tcPr>
            <w:tcW w:w="941" w:type="dxa"/>
            <w:shd w:val="clear" w:color="auto" w:fill="7F7F7F" w:themeFill="text1" w:themeFillTint="80"/>
            <w:noWrap/>
            <w:vAlign w:val="bottom"/>
            <w:hideMark/>
          </w:tcPr>
          <w:p w14:paraId="1D404307" w14:textId="77777777" w:rsidR="00BA1F5A" w:rsidRPr="003E0411" w:rsidRDefault="00BA1F5A" w:rsidP="00BA1F5A">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2010-11</w:t>
            </w:r>
          </w:p>
        </w:tc>
        <w:tc>
          <w:tcPr>
            <w:tcW w:w="941" w:type="dxa"/>
            <w:shd w:val="clear" w:color="auto" w:fill="7F7F7F" w:themeFill="text1" w:themeFillTint="80"/>
            <w:noWrap/>
            <w:vAlign w:val="bottom"/>
            <w:hideMark/>
          </w:tcPr>
          <w:p w14:paraId="45583165" w14:textId="77777777" w:rsidR="00BA1F5A" w:rsidRPr="003E0411" w:rsidRDefault="00BA1F5A" w:rsidP="00BA1F5A">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2011-12</w:t>
            </w:r>
          </w:p>
        </w:tc>
        <w:tc>
          <w:tcPr>
            <w:tcW w:w="941" w:type="dxa"/>
            <w:shd w:val="clear" w:color="auto" w:fill="7F7F7F" w:themeFill="text1" w:themeFillTint="80"/>
            <w:noWrap/>
            <w:vAlign w:val="bottom"/>
            <w:hideMark/>
          </w:tcPr>
          <w:p w14:paraId="636BBEF7" w14:textId="77777777" w:rsidR="00BA1F5A" w:rsidRPr="003E0411" w:rsidRDefault="00BA1F5A" w:rsidP="00BA1F5A">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2012-13</w:t>
            </w:r>
          </w:p>
        </w:tc>
        <w:tc>
          <w:tcPr>
            <w:tcW w:w="941" w:type="dxa"/>
            <w:shd w:val="clear" w:color="auto" w:fill="7F7F7F" w:themeFill="text1" w:themeFillTint="80"/>
            <w:noWrap/>
            <w:vAlign w:val="bottom"/>
            <w:hideMark/>
          </w:tcPr>
          <w:p w14:paraId="3789EA50" w14:textId="77777777" w:rsidR="00BA1F5A" w:rsidRPr="003E0411" w:rsidRDefault="00BA1F5A" w:rsidP="00BA1F5A">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2013-14</w:t>
            </w:r>
          </w:p>
        </w:tc>
        <w:tc>
          <w:tcPr>
            <w:tcW w:w="941" w:type="dxa"/>
            <w:shd w:val="clear" w:color="auto" w:fill="7F7F7F" w:themeFill="text1" w:themeFillTint="80"/>
            <w:noWrap/>
            <w:vAlign w:val="bottom"/>
            <w:hideMark/>
          </w:tcPr>
          <w:p w14:paraId="40EEDE12" w14:textId="77777777" w:rsidR="00BA1F5A" w:rsidRPr="003E0411" w:rsidRDefault="00BA1F5A" w:rsidP="00BA1F5A">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2014-15</w:t>
            </w:r>
          </w:p>
        </w:tc>
        <w:tc>
          <w:tcPr>
            <w:tcW w:w="941" w:type="dxa"/>
            <w:shd w:val="clear" w:color="auto" w:fill="7F7F7F" w:themeFill="text1" w:themeFillTint="80"/>
            <w:noWrap/>
            <w:vAlign w:val="bottom"/>
            <w:hideMark/>
          </w:tcPr>
          <w:p w14:paraId="26CA3EAB" w14:textId="77777777" w:rsidR="00BA1F5A" w:rsidRPr="003E0411" w:rsidRDefault="00BA1F5A" w:rsidP="00BA1F5A">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2015-16</w:t>
            </w:r>
          </w:p>
        </w:tc>
        <w:tc>
          <w:tcPr>
            <w:tcW w:w="941" w:type="dxa"/>
            <w:shd w:val="clear" w:color="auto" w:fill="7F7F7F" w:themeFill="text1" w:themeFillTint="80"/>
            <w:vAlign w:val="bottom"/>
          </w:tcPr>
          <w:p w14:paraId="37D2EFB4" w14:textId="77777777" w:rsidR="00BA1F5A" w:rsidRPr="003E0411" w:rsidRDefault="00BA1F5A" w:rsidP="00BA1F5A">
            <w:pPr>
              <w:spacing w:before="120" w:line="240" w:lineRule="auto"/>
              <w:jc w:val="center"/>
              <w:rPr>
                <w:rFonts w:eastAsia="Times New Roman" w:cs="Arial"/>
                <w:b/>
                <w:bCs/>
                <w:sz w:val="20"/>
                <w:szCs w:val="20"/>
                <w:lang w:eastAsia="en-AU"/>
              </w:rPr>
            </w:pPr>
            <w:r>
              <w:rPr>
                <w:rFonts w:eastAsia="Times New Roman" w:cs="Arial"/>
                <w:b/>
                <w:bCs/>
                <w:sz w:val="20"/>
                <w:szCs w:val="20"/>
                <w:lang w:eastAsia="en-AU"/>
              </w:rPr>
              <w:t>2016-17</w:t>
            </w:r>
          </w:p>
        </w:tc>
      </w:tr>
      <w:tr w:rsidR="00BA1F5A" w:rsidRPr="003E0411" w14:paraId="455F065E" w14:textId="77777777" w:rsidTr="00753E8D">
        <w:trPr>
          <w:trHeight w:val="255"/>
        </w:trPr>
        <w:tc>
          <w:tcPr>
            <w:tcW w:w="2449" w:type="dxa"/>
            <w:shd w:val="clear" w:color="auto" w:fill="auto"/>
            <w:noWrap/>
            <w:vAlign w:val="bottom"/>
            <w:hideMark/>
          </w:tcPr>
          <w:p w14:paraId="3E5260C0" w14:textId="77777777" w:rsidR="00BA1F5A" w:rsidRPr="003E0411" w:rsidRDefault="00BA1F5A" w:rsidP="00BA1F5A">
            <w:pPr>
              <w:spacing w:before="120" w:line="240" w:lineRule="auto"/>
              <w:rPr>
                <w:rFonts w:eastAsia="Times New Roman" w:cs="Arial"/>
                <w:sz w:val="20"/>
                <w:szCs w:val="20"/>
                <w:lang w:eastAsia="en-AU"/>
              </w:rPr>
            </w:pPr>
            <w:r w:rsidRPr="003E0411">
              <w:rPr>
                <w:rFonts w:eastAsia="Times New Roman" w:cs="Arial"/>
                <w:sz w:val="20"/>
                <w:szCs w:val="20"/>
                <w:lang w:eastAsia="en-AU"/>
              </w:rPr>
              <w:t>Interim</w:t>
            </w:r>
          </w:p>
        </w:tc>
        <w:tc>
          <w:tcPr>
            <w:tcW w:w="941" w:type="dxa"/>
            <w:shd w:val="clear" w:color="auto" w:fill="auto"/>
            <w:noWrap/>
            <w:vAlign w:val="bottom"/>
            <w:hideMark/>
          </w:tcPr>
          <w:p w14:paraId="79566F67" w14:textId="77777777" w:rsidR="00BA1F5A" w:rsidRPr="003E0411" w:rsidRDefault="00BA1F5A" w:rsidP="00BA1F5A">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41</w:t>
            </w:r>
          </w:p>
        </w:tc>
        <w:tc>
          <w:tcPr>
            <w:tcW w:w="941" w:type="dxa"/>
            <w:shd w:val="clear" w:color="auto" w:fill="auto"/>
            <w:noWrap/>
            <w:vAlign w:val="bottom"/>
            <w:hideMark/>
          </w:tcPr>
          <w:p w14:paraId="03FCB177" w14:textId="77777777" w:rsidR="00BA1F5A" w:rsidRPr="003E0411" w:rsidRDefault="00BA1F5A" w:rsidP="00BA1F5A">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30</w:t>
            </w:r>
          </w:p>
        </w:tc>
        <w:tc>
          <w:tcPr>
            <w:tcW w:w="941" w:type="dxa"/>
            <w:shd w:val="clear" w:color="auto" w:fill="auto"/>
            <w:noWrap/>
            <w:vAlign w:val="bottom"/>
            <w:hideMark/>
          </w:tcPr>
          <w:p w14:paraId="1030DD34" w14:textId="77777777" w:rsidR="00BA1F5A" w:rsidRPr="003E0411" w:rsidRDefault="00BA1F5A" w:rsidP="00BA1F5A">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10</w:t>
            </w:r>
          </w:p>
        </w:tc>
        <w:tc>
          <w:tcPr>
            <w:tcW w:w="941" w:type="dxa"/>
            <w:shd w:val="clear" w:color="auto" w:fill="auto"/>
            <w:noWrap/>
            <w:vAlign w:val="bottom"/>
            <w:hideMark/>
          </w:tcPr>
          <w:p w14:paraId="3DA2C57E"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31</w:t>
            </w:r>
          </w:p>
        </w:tc>
        <w:tc>
          <w:tcPr>
            <w:tcW w:w="941" w:type="dxa"/>
            <w:shd w:val="clear" w:color="auto" w:fill="auto"/>
            <w:noWrap/>
            <w:vAlign w:val="bottom"/>
            <w:hideMark/>
          </w:tcPr>
          <w:p w14:paraId="287F560E"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24</w:t>
            </w:r>
          </w:p>
        </w:tc>
        <w:tc>
          <w:tcPr>
            <w:tcW w:w="941" w:type="dxa"/>
            <w:shd w:val="clear" w:color="auto" w:fill="auto"/>
            <w:noWrap/>
            <w:vAlign w:val="bottom"/>
            <w:hideMark/>
          </w:tcPr>
          <w:p w14:paraId="3815246A"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37</w:t>
            </w:r>
          </w:p>
        </w:tc>
        <w:tc>
          <w:tcPr>
            <w:tcW w:w="941" w:type="dxa"/>
            <w:shd w:val="clear" w:color="auto" w:fill="auto"/>
            <w:noWrap/>
            <w:vAlign w:val="bottom"/>
            <w:hideMark/>
          </w:tcPr>
          <w:p w14:paraId="1E22BB5F"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29</w:t>
            </w:r>
          </w:p>
        </w:tc>
        <w:tc>
          <w:tcPr>
            <w:tcW w:w="941" w:type="dxa"/>
            <w:vAlign w:val="bottom"/>
          </w:tcPr>
          <w:p w14:paraId="357ADC37" w14:textId="77777777" w:rsidR="00BA1F5A" w:rsidRPr="003E0411" w:rsidRDefault="00A77CE0" w:rsidP="00BA1F5A">
            <w:pPr>
              <w:spacing w:before="120" w:line="240" w:lineRule="auto"/>
              <w:jc w:val="right"/>
              <w:rPr>
                <w:rFonts w:eastAsia="Times New Roman" w:cs="Arial"/>
                <w:sz w:val="20"/>
                <w:szCs w:val="20"/>
                <w:lang w:eastAsia="en-AU"/>
              </w:rPr>
            </w:pPr>
            <w:r>
              <w:rPr>
                <w:rFonts w:eastAsia="Times New Roman" w:cs="Arial"/>
                <w:sz w:val="20"/>
                <w:szCs w:val="20"/>
                <w:lang w:eastAsia="en-AU"/>
              </w:rPr>
              <w:t>21</w:t>
            </w:r>
          </w:p>
        </w:tc>
      </w:tr>
      <w:tr w:rsidR="00BA1F5A" w:rsidRPr="003E0411" w14:paraId="18BE042E" w14:textId="77777777" w:rsidTr="00753E8D">
        <w:trPr>
          <w:trHeight w:val="255"/>
        </w:trPr>
        <w:tc>
          <w:tcPr>
            <w:tcW w:w="2449" w:type="dxa"/>
            <w:shd w:val="clear" w:color="auto" w:fill="auto"/>
            <w:noWrap/>
            <w:vAlign w:val="bottom"/>
            <w:hideMark/>
          </w:tcPr>
          <w:p w14:paraId="69841C90" w14:textId="77777777" w:rsidR="00BA1F5A" w:rsidRPr="003E0411" w:rsidRDefault="00BA1F5A" w:rsidP="00BA1F5A">
            <w:pPr>
              <w:spacing w:before="120" w:line="240" w:lineRule="auto"/>
              <w:rPr>
                <w:rFonts w:eastAsia="Times New Roman" w:cs="Arial"/>
                <w:sz w:val="20"/>
                <w:szCs w:val="20"/>
                <w:lang w:eastAsia="en-AU"/>
              </w:rPr>
            </w:pPr>
            <w:r w:rsidRPr="003E0411">
              <w:rPr>
                <w:rFonts w:eastAsia="Times New Roman" w:cs="Arial"/>
                <w:sz w:val="20"/>
                <w:szCs w:val="20"/>
                <w:lang w:eastAsia="en-AU"/>
              </w:rPr>
              <w:t>Costs</w:t>
            </w:r>
          </w:p>
        </w:tc>
        <w:tc>
          <w:tcPr>
            <w:tcW w:w="941" w:type="dxa"/>
            <w:shd w:val="clear" w:color="auto" w:fill="auto"/>
            <w:noWrap/>
            <w:vAlign w:val="bottom"/>
            <w:hideMark/>
          </w:tcPr>
          <w:p w14:paraId="0C48A70B" w14:textId="77777777" w:rsidR="00BA1F5A" w:rsidRPr="003E0411" w:rsidRDefault="00BA1F5A" w:rsidP="00BA1F5A">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31</w:t>
            </w:r>
          </w:p>
        </w:tc>
        <w:tc>
          <w:tcPr>
            <w:tcW w:w="941" w:type="dxa"/>
            <w:shd w:val="clear" w:color="auto" w:fill="auto"/>
            <w:noWrap/>
            <w:vAlign w:val="bottom"/>
            <w:hideMark/>
          </w:tcPr>
          <w:p w14:paraId="5A3D0598" w14:textId="77777777" w:rsidR="00BA1F5A" w:rsidRPr="003E0411" w:rsidRDefault="00BA1F5A" w:rsidP="00BA1F5A">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22</w:t>
            </w:r>
          </w:p>
        </w:tc>
        <w:tc>
          <w:tcPr>
            <w:tcW w:w="941" w:type="dxa"/>
            <w:shd w:val="clear" w:color="auto" w:fill="auto"/>
            <w:noWrap/>
            <w:vAlign w:val="bottom"/>
            <w:hideMark/>
          </w:tcPr>
          <w:p w14:paraId="720C85B0" w14:textId="77777777" w:rsidR="00BA1F5A" w:rsidRPr="003E0411" w:rsidRDefault="00BA1F5A" w:rsidP="00BA1F5A">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27</w:t>
            </w:r>
          </w:p>
        </w:tc>
        <w:tc>
          <w:tcPr>
            <w:tcW w:w="941" w:type="dxa"/>
            <w:shd w:val="clear" w:color="auto" w:fill="auto"/>
            <w:noWrap/>
            <w:vAlign w:val="bottom"/>
            <w:hideMark/>
          </w:tcPr>
          <w:p w14:paraId="6571993C"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29</w:t>
            </w:r>
          </w:p>
        </w:tc>
        <w:tc>
          <w:tcPr>
            <w:tcW w:w="941" w:type="dxa"/>
            <w:shd w:val="clear" w:color="auto" w:fill="auto"/>
            <w:noWrap/>
            <w:vAlign w:val="bottom"/>
            <w:hideMark/>
          </w:tcPr>
          <w:p w14:paraId="52108D01"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33</w:t>
            </w:r>
          </w:p>
        </w:tc>
        <w:tc>
          <w:tcPr>
            <w:tcW w:w="941" w:type="dxa"/>
            <w:shd w:val="clear" w:color="auto" w:fill="auto"/>
            <w:noWrap/>
            <w:vAlign w:val="bottom"/>
            <w:hideMark/>
          </w:tcPr>
          <w:p w14:paraId="5FFE4304"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12</w:t>
            </w:r>
          </w:p>
        </w:tc>
        <w:tc>
          <w:tcPr>
            <w:tcW w:w="941" w:type="dxa"/>
            <w:shd w:val="clear" w:color="auto" w:fill="auto"/>
            <w:noWrap/>
            <w:vAlign w:val="bottom"/>
            <w:hideMark/>
          </w:tcPr>
          <w:p w14:paraId="385DE09F"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10</w:t>
            </w:r>
          </w:p>
        </w:tc>
        <w:tc>
          <w:tcPr>
            <w:tcW w:w="941" w:type="dxa"/>
            <w:vAlign w:val="bottom"/>
          </w:tcPr>
          <w:p w14:paraId="047F0A62" w14:textId="77777777" w:rsidR="00BA1F5A" w:rsidRPr="003E0411" w:rsidRDefault="00A77CE0" w:rsidP="00BA1F5A">
            <w:pPr>
              <w:spacing w:before="120" w:line="240" w:lineRule="auto"/>
              <w:jc w:val="right"/>
              <w:rPr>
                <w:rFonts w:eastAsia="Times New Roman" w:cs="Arial"/>
                <w:sz w:val="20"/>
                <w:szCs w:val="20"/>
                <w:lang w:eastAsia="en-AU"/>
              </w:rPr>
            </w:pPr>
            <w:r>
              <w:rPr>
                <w:rFonts w:eastAsia="Times New Roman" w:cs="Arial"/>
                <w:sz w:val="20"/>
                <w:szCs w:val="20"/>
                <w:lang w:eastAsia="en-AU"/>
              </w:rPr>
              <w:t>15</w:t>
            </w:r>
          </w:p>
        </w:tc>
      </w:tr>
      <w:tr w:rsidR="00BA1F5A" w:rsidRPr="003E0411" w14:paraId="5E29802B" w14:textId="77777777" w:rsidTr="00753E8D">
        <w:trPr>
          <w:trHeight w:val="255"/>
        </w:trPr>
        <w:tc>
          <w:tcPr>
            <w:tcW w:w="2449" w:type="dxa"/>
            <w:shd w:val="clear" w:color="auto" w:fill="auto"/>
            <w:noWrap/>
            <w:vAlign w:val="bottom"/>
            <w:hideMark/>
          </w:tcPr>
          <w:p w14:paraId="4CB3237D" w14:textId="77777777" w:rsidR="00BA1F5A" w:rsidRPr="003E0411" w:rsidRDefault="00BA1F5A" w:rsidP="00BA1F5A">
            <w:pPr>
              <w:spacing w:before="120" w:line="240" w:lineRule="auto"/>
              <w:rPr>
                <w:rFonts w:eastAsia="Times New Roman" w:cs="Arial"/>
                <w:sz w:val="20"/>
                <w:szCs w:val="20"/>
                <w:lang w:eastAsia="en-AU"/>
              </w:rPr>
            </w:pPr>
            <w:r w:rsidRPr="003E0411">
              <w:rPr>
                <w:rFonts w:eastAsia="Times New Roman" w:cs="Arial"/>
                <w:sz w:val="20"/>
                <w:szCs w:val="20"/>
                <w:lang w:eastAsia="en-AU"/>
              </w:rPr>
              <w:t>Consent</w:t>
            </w:r>
          </w:p>
        </w:tc>
        <w:tc>
          <w:tcPr>
            <w:tcW w:w="941" w:type="dxa"/>
            <w:shd w:val="clear" w:color="auto" w:fill="auto"/>
            <w:noWrap/>
            <w:vAlign w:val="bottom"/>
            <w:hideMark/>
          </w:tcPr>
          <w:p w14:paraId="0F6556E4" w14:textId="77777777" w:rsidR="00BA1F5A" w:rsidRPr="003E0411" w:rsidRDefault="00BA1F5A" w:rsidP="00BA1F5A">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123</w:t>
            </w:r>
          </w:p>
        </w:tc>
        <w:tc>
          <w:tcPr>
            <w:tcW w:w="941" w:type="dxa"/>
            <w:shd w:val="clear" w:color="auto" w:fill="auto"/>
            <w:noWrap/>
            <w:vAlign w:val="bottom"/>
            <w:hideMark/>
          </w:tcPr>
          <w:p w14:paraId="3DC3328F" w14:textId="77777777" w:rsidR="00BA1F5A" w:rsidRPr="003E0411" w:rsidRDefault="00BA1F5A" w:rsidP="00BA1F5A">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114</w:t>
            </w:r>
          </w:p>
        </w:tc>
        <w:tc>
          <w:tcPr>
            <w:tcW w:w="941" w:type="dxa"/>
            <w:shd w:val="clear" w:color="auto" w:fill="auto"/>
            <w:noWrap/>
            <w:vAlign w:val="bottom"/>
            <w:hideMark/>
          </w:tcPr>
          <w:p w14:paraId="0477679A" w14:textId="77777777" w:rsidR="00BA1F5A" w:rsidRPr="003E0411" w:rsidRDefault="00BA1F5A" w:rsidP="00BA1F5A">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126</w:t>
            </w:r>
          </w:p>
        </w:tc>
        <w:tc>
          <w:tcPr>
            <w:tcW w:w="941" w:type="dxa"/>
            <w:shd w:val="clear" w:color="auto" w:fill="auto"/>
            <w:noWrap/>
            <w:vAlign w:val="bottom"/>
            <w:hideMark/>
          </w:tcPr>
          <w:p w14:paraId="73CE35A4"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80</w:t>
            </w:r>
          </w:p>
        </w:tc>
        <w:tc>
          <w:tcPr>
            <w:tcW w:w="941" w:type="dxa"/>
            <w:shd w:val="clear" w:color="auto" w:fill="auto"/>
            <w:noWrap/>
            <w:vAlign w:val="bottom"/>
            <w:hideMark/>
          </w:tcPr>
          <w:p w14:paraId="48ECC558"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62</w:t>
            </w:r>
          </w:p>
        </w:tc>
        <w:tc>
          <w:tcPr>
            <w:tcW w:w="941" w:type="dxa"/>
            <w:shd w:val="clear" w:color="auto" w:fill="auto"/>
            <w:noWrap/>
            <w:vAlign w:val="bottom"/>
            <w:hideMark/>
          </w:tcPr>
          <w:p w14:paraId="3E5BA90B"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57</w:t>
            </w:r>
          </w:p>
        </w:tc>
        <w:tc>
          <w:tcPr>
            <w:tcW w:w="941" w:type="dxa"/>
            <w:shd w:val="clear" w:color="auto" w:fill="auto"/>
            <w:noWrap/>
            <w:vAlign w:val="bottom"/>
            <w:hideMark/>
          </w:tcPr>
          <w:p w14:paraId="5D70F04C"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55</w:t>
            </w:r>
          </w:p>
        </w:tc>
        <w:tc>
          <w:tcPr>
            <w:tcW w:w="941" w:type="dxa"/>
            <w:vAlign w:val="bottom"/>
          </w:tcPr>
          <w:p w14:paraId="50BF83A0" w14:textId="77777777" w:rsidR="00BA1F5A" w:rsidRPr="003E0411" w:rsidRDefault="00A77CE0" w:rsidP="00BA1F5A">
            <w:pPr>
              <w:spacing w:before="120" w:line="240" w:lineRule="auto"/>
              <w:jc w:val="right"/>
              <w:rPr>
                <w:rFonts w:eastAsia="Times New Roman" w:cs="Arial"/>
                <w:sz w:val="20"/>
                <w:szCs w:val="20"/>
                <w:lang w:eastAsia="en-AU"/>
              </w:rPr>
            </w:pPr>
            <w:r>
              <w:rPr>
                <w:rFonts w:eastAsia="Times New Roman" w:cs="Arial"/>
                <w:sz w:val="20"/>
                <w:szCs w:val="20"/>
                <w:lang w:eastAsia="en-AU"/>
              </w:rPr>
              <w:t>74</w:t>
            </w:r>
          </w:p>
        </w:tc>
      </w:tr>
      <w:tr w:rsidR="00BA1F5A" w:rsidRPr="003E0411" w14:paraId="2DE31A85" w14:textId="77777777" w:rsidTr="00753E8D">
        <w:trPr>
          <w:trHeight w:val="255"/>
        </w:trPr>
        <w:tc>
          <w:tcPr>
            <w:tcW w:w="2449" w:type="dxa"/>
            <w:shd w:val="clear" w:color="auto" w:fill="auto"/>
            <w:noWrap/>
            <w:vAlign w:val="bottom"/>
            <w:hideMark/>
          </w:tcPr>
          <w:p w14:paraId="7926D2CD" w14:textId="77777777" w:rsidR="00BA1F5A" w:rsidRPr="003E0411" w:rsidRDefault="00BA1F5A" w:rsidP="00BA1F5A">
            <w:pPr>
              <w:spacing w:before="120" w:line="240" w:lineRule="auto"/>
              <w:rPr>
                <w:rFonts w:eastAsia="Times New Roman" w:cs="Arial"/>
                <w:sz w:val="20"/>
                <w:szCs w:val="20"/>
                <w:lang w:eastAsia="en-AU"/>
              </w:rPr>
            </w:pPr>
            <w:r w:rsidRPr="003E0411">
              <w:rPr>
                <w:rFonts w:eastAsia="Times New Roman" w:cs="Arial"/>
                <w:sz w:val="20"/>
                <w:szCs w:val="20"/>
                <w:lang w:eastAsia="en-AU"/>
              </w:rPr>
              <w:t>Amended</w:t>
            </w:r>
          </w:p>
        </w:tc>
        <w:tc>
          <w:tcPr>
            <w:tcW w:w="941" w:type="dxa"/>
            <w:shd w:val="clear" w:color="auto" w:fill="auto"/>
            <w:noWrap/>
            <w:vAlign w:val="bottom"/>
            <w:hideMark/>
          </w:tcPr>
          <w:p w14:paraId="6171F2DD" w14:textId="77777777" w:rsidR="00BA1F5A" w:rsidRPr="003E0411" w:rsidRDefault="00BA1F5A" w:rsidP="00BA1F5A">
            <w:pPr>
              <w:spacing w:before="120" w:line="240" w:lineRule="auto"/>
              <w:jc w:val="right"/>
              <w:rPr>
                <w:rFonts w:eastAsia="Times New Roman" w:cs="Arial"/>
                <w:sz w:val="20"/>
                <w:szCs w:val="20"/>
                <w:lang w:eastAsia="en-AU"/>
              </w:rPr>
            </w:pPr>
          </w:p>
        </w:tc>
        <w:tc>
          <w:tcPr>
            <w:tcW w:w="941" w:type="dxa"/>
            <w:shd w:val="clear" w:color="auto" w:fill="auto"/>
            <w:noWrap/>
            <w:vAlign w:val="bottom"/>
            <w:hideMark/>
          </w:tcPr>
          <w:p w14:paraId="6B7EF3CE" w14:textId="77777777" w:rsidR="00BA1F5A" w:rsidRPr="003E0411" w:rsidRDefault="00BA1F5A" w:rsidP="00BA1F5A">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5</w:t>
            </w:r>
          </w:p>
        </w:tc>
        <w:tc>
          <w:tcPr>
            <w:tcW w:w="941" w:type="dxa"/>
            <w:shd w:val="clear" w:color="auto" w:fill="auto"/>
            <w:noWrap/>
            <w:vAlign w:val="bottom"/>
            <w:hideMark/>
          </w:tcPr>
          <w:p w14:paraId="005C18C8" w14:textId="77777777" w:rsidR="00BA1F5A" w:rsidRPr="003E0411" w:rsidRDefault="00BA1F5A" w:rsidP="00BA1F5A">
            <w:pPr>
              <w:spacing w:before="120" w:line="240" w:lineRule="auto"/>
              <w:jc w:val="right"/>
              <w:rPr>
                <w:rFonts w:eastAsia="Times New Roman" w:cs="Arial"/>
                <w:sz w:val="20"/>
                <w:szCs w:val="20"/>
                <w:lang w:eastAsia="en-AU"/>
              </w:rPr>
            </w:pPr>
          </w:p>
        </w:tc>
        <w:tc>
          <w:tcPr>
            <w:tcW w:w="941" w:type="dxa"/>
            <w:shd w:val="clear" w:color="auto" w:fill="auto"/>
            <w:noWrap/>
            <w:vAlign w:val="bottom"/>
            <w:hideMark/>
          </w:tcPr>
          <w:p w14:paraId="682F5658" w14:textId="77777777" w:rsidR="00BA1F5A" w:rsidRPr="003E0411" w:rsidRDefault="00BA1F5A" w:rsidP="00BA1F5A">
            <w:pPr>
              <w:spacing w:before="120" w:line="240" w:lineRule="auto"/>
              <w:jc w:val="right"/>
              <w:rPr>
                <w:rFonts w:eastAsia="Times New Roman" w:cs="Arial"/>
                <w:color w:val="000000"/>
                <w:sz w:val="20"/>
                <w:szCs w:val="20"/>
                <w:lang w:eastAsia="en-AU"/>
              </w:rPr>
            </w:pPr>
          </w:p>
        </w:tc>
        <w:tc>
          <w:tcPr>
            <w:tcW w:w="941" w:type="dxa"/>
            <w:shd w:val="clear" w:color="auto" w:fill="auto"/>
            <w:noWrap/>
            <w:vAlign w:val="bottom"/>
            <w:hideMark/>
          </w:tcPr>
          <w:p w14:paraId="7B1055D1"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4</w:t>
            </w:r>
          </w:p>
        </w:tc>
        <w:tc>
          <w:tcPr>
            <w:tcW w:w="941" w:type="dxa"/>
            <w:shd w:val="clear" w:color="auto" w:fill="auto"/>
            <w:noWrap/>
            <w:vAlign w:val="bottom"/>
            <w:hideMark/>
          </w:tcPr>
          <w:p w14:paraId="3CB93813"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1</w:t>
            </w:r>
          </w:p>
        </w:tc>
        <w:tc>
          <w:tcPr>
            <w:tcW w:w="941" w:type="dxa"/>
            <w:shd w:val="clear" w:color="auto" w:fill="auto"/>
            <w:noWrap/>
            <w:vAlign w:val="bottom"/>
            <w:hideMark/>
          </w:tcPr>
          <w:p w14:paraId="28A90234" w14:textId="77777777" w:rsidR="00BA1F5A" w:rsidRPr="003E0411" w:rsidRDefault="00BA1F5A" w:rsidP="00BA1F5A">
            <w:pPr>
              <w:spacing w:before="120" w:line="240" w:lineRule="auto"/>
              <w:jc w:val="right"/>
              <w:rPr>
                <w:rFonts w:eastAsia="Times New Roman" w:cs="Arial"/>
                <w:color w:val="000000"/>
                <w:sz w:val="20"/>
                <w:szCs w:val="20"/>
                <w:lang w:eastAsia="en-AU"/>
              </w:rPr>
            </w:pPr>
          </w:p>
        </w:tc>
        <w:tc>
          <w:tcPr>
            <w:tcW w:w="941" w:type="dxa"/>
            <w:vAlign w:val="bottom"/>
          </w:tcPr>
          <w:p w14:paraId="76C63B6F" w14:textId="77777777" w:rsidR="00BA1F5A" w:rsidRPr="003E0411" w:rsidRDefault="00BA1F5A" w:rsidP="00BA1F5A">
            <w:pPr>
              <w:spacing w:before="120" w:line="240" w:lineRule="auto"/>
              <w:jc w:val="right"/>
              <w:rPr>
                <w:rFonts w:eastAsia="Times New Roman" w:cs="Arial"/>
                <w:sz w:val="20"/>
                <w:szCs w:val="20"/>
                <w:lang w:eastAsia="en-AU"/>
              </w:rPr>
            </w:pPr>
          </w:p>
        </w:tc>
      </w:tr>
      <w:tr w:rsidR="00BA1F5A" w:rsidRPr="003E0411" w14:paraId="3B9D7F44" w14:textId="77777777" w:rsidTr="00753E8D">
        <w:trPr>
          <w:trHeight w:val="255"/>
        </w:trPr>
        <w:tc>
          <w:tcPr>
            <w:tcW w:w="2449" w:type="dxa"/>
            <w:shd w:val="clear" w:color="auto" w:fill="auto"/>
            <w:noWrap/>
            <w:vAlign w:val="bottom"/>
            <w:hideMark/>
          </w:tcPr>
          <w:p w14:paraId="7C7D2A44" w14:textId="77777777" w:rsidR="00BA1F5A" w:rsidRPr="003E0411" w:rsidRDefault="00BA1F5A" w:rsidP="00BA1F5A">
            <w:pPr>
              <w:spacing w:before="120" w:line="240" w:lineRule="auto"/>
              <w:rPr>
                <w:rFonts w:eastAsia="Times New Roman" w:cs="Arial"/>
                <w:sz w:val="20"/>
                <w:szCs w:val="20"/>
                <w:lang w:eastAsia="en-AU"/>
              </w:rPr>
            </w:pPr>
            <w:r w:rsidRPr="003E0411">
              <w:rPr>
                <w:rFonts w:eastAsia="Times New Roman" w:cs="Arial"/>
                <w:sz w:val="20"/>
                <w:szCs w:val="20"/>
                <w:lang w:eastAsia="en-AU"/>
              </w:rPr>
              <w:t>Hearing</w:t>
            </w:r>
          </w:p>
        </w:tc>
        <w:tc>
          <w:tcPr>
            <w:tcW w:w="941" w:type="dxa"/>
            <w:shd w:val="clear" w:color="auto" w:fill="auto"/>
            <w:noWrap/>
            <w:vAlign w:val="bottom"/>
            <w:hideMark/>
          </w:tcPr>
          <w:p w14:paraId="68CB7D9E" w14:textId="77777777" w:rsidR="00BA1F5A" w:rsidRPr="003E0411" w:rsidRDefault="00BA1F5A" w:rsidP="00BA1F5A">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52</w:t>
            </w:r>
          </w:p>
        </w:tc>
        <w:tc>
          <w:tcPr>
            <w:tcW w:w="941" w:type="dxa"/>
            <w:shd w:val="clear" w:color="auto" w:fill="auto"/>
            <w:noWrap/>
            <w:vAlign w:val="bottom"/>
            <w:hideMark/>
          </w:tcPr>
          <w:p w14:paraId="619F0D9C" w14:textId="77777777" w:rsidR="00BA1F5A" w:rsidRPr="003E0411" w:rsidRDefault="00BA1F5A" w:rsidP="00BA1F5A">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44</w:t>
            </w:r>
          </w:p>
        </w:tc>
        <w:tc>
          <w:tcPr>
            <w:tcW w:w="941" w:type="dxa"/>
            <w:shd w:val="clear" w:color="auto" w:fill="auto"/>
            <w:noWrap/>
            <w:vAlign w:val="bottom"/>
            <w:hideMark/>
          </w:tcPr>
          <w:p w14:paraId="2DD9F323" w14:textId="77777777" w:rsidR="00BA1F5A" w:rsidRPr="003E0411" w:rsidRDefault="00BA1F5A" w:rsidP="00BA1F5A">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39</w:t>
            </w:r>
          </w:p>
        </w:tc>
        <w:tc>
          <w:tcPr>
            <w:tcW w:w="941" w:type="dxa"/>
            <w:shd w:val="clear" w:color="auto" w:fill="auto"/>
            <w:noWrap/>
            <w:vAlign w:val="bottom"/>
            <w:hideMark/>
          </w:tcPr>
          <w:p w14:paraId="1D515AE9"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17</w:t>
            </w:r>
          </w:p>
        </w:tc>
        <w:tc>
          <w:tcPr>
            <w:tcW w:w="941" w:type="dxa"/>
            <w:shd w:val="clear" w:color="auto" w:fill="auto"/>
            <w:noWrap/>
            <w:vAlign w:val="bottom"/>
            <w:hideMark/>
          </w:tcPr>
          <w:p w14:paraId="55196446"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23</w:t>
            </w:r>
          </w:p>
        </w:tc>
        <w:tc>
          <w:tcPr>
            <w:tcW w:w="941" w:type="dxa"/>
            <w:shd w:val="clear" w:color="auto" w:fill="auto"/>
            <w:noWrap/>
            <w:vAlign w:val="bottom"/>
            <w:hideMark/>
          </w:tcPr>
          <w:p w14:paraId="4A28C425"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15</w:t>
            </w:r>
          </w:p>
        </w:tc>
        <w:tc>
          <w:tcPr>
            <w:tcW w:w="941" w:type="dxa"/>
            <w:shd w:val="clear" w:color="auto" w:fill="auto"/>
            <w:noWrap/>
            <w:vAlign w:val="bottom"/>
            <w:hideMark/>
          </w:tcPr>
          <w:p w14:paraId="18F99CCE" w14:textId="77777777" w:rsidR="00BA1F5A" w:rsidRPr="003E0411" w:rsidRDefault="00BA1F5A" w:rsidP="00BA1F5A">
            <w:pPr>
              <w:spacing w:before="120" w:line="240" w:lineRule="auto"/>
              <w:jc w:val="right"/>
              <w:rPr>
                <w:rFonts w:eastAsia="Times New Roman" w:cs="Arial"/>
                <w:color w:val="000000"/>
                <w:sz w:val="20"/>
                <w:szCs w:val="20"/>
                <w:lang w:eastAsia="en-AU"/>
              </w:rPr>
            </w:pPr>
            <w:r w:rsidRPr="003E0411">
              <w:rPr>
                <w:rFonts w:eastAsia="Times New Roman" w:cs="Arial"/>
                <w:color w:val="000000"/>
                <w:sz w:val="20"/>
                <w:szCs w:val="20"/>
                <w:lang w:eastAsia="en-AU"/>
              </w:rPr>
              <w:t>14</w:t>
            </w:r>
          </w:p>
        </w:tc>
        <w:tc>
          <w:tcPr>
            <w:tcW w:w="941" w:type="dxa"/>
            <w:vAlign w:val="bottom"/>
          </w:tcPr>
          <w:p w14:paraId="3B014AC0" w14:textId="77777777" w:rsidR="00BA1F5A" w:rsidRPr="003E0411" w:rsidRDefault="00A77CE0" w:rsidP="00BA1F5A">
            <w:pPr>
              <w:spacing w:before="120" w:line="240" w:lineRule="auto"/>
              <w:jc w:val="right"/>
              <w:rPr>
                <w:rFonts w:eastAsia="Times New Roman" w:cs="Arial"/>
                <w:sz w:val="20"/>
                <w:szCs w:val="20"/>
                <w:lang w:eastAsia="en-AU"/>
              </w:rPr>
            </w:pPr>
            <w:r>
              <w:rPr>
                <w:rFonts w:eastAsia="Times New Roman" w:cs="Arial"/>
                <w:sz w:val="20"/>
                <w:szCs w:val="20"/>
                <w:lang w:eastAsia="en-AU"/>
              </w:rPr>
              <w:t>27</w:t>
            </w:r>
          </w:p>
        </w:tc>
      </w:tr>
      <w:tr w:rsidR="00BA1F5A" w:rsidRPr="003E0411" w14:paraId="75AFFF94" w14:textId="77777777" w:rsidTr="00753E8D">
        <w:trPr>
          <w:trHeight w:val="255"/>
        </w:trPr>
        <w:tc>
          <w:tcPr>
            <w:tcW w:w="2449" w:type="dxa"/>
            <w:shd w:val="clear" w:color="auto" w:fill="auto"/>
            <w:noWrap/>
            <w:vAlign w:val="bottom"/>
            <w:hideMark/>
          </w:tcPr>
          <w:p w14:paraId="2428338A" w14:textId="77777777" w:rsidR="00BA1F5A" w:rsidRPr="003E0411" w:rsidRDefault="00BA1F5A" w:rsidP="00BA1F5A">
            <w:pPr>
              <w:spacing w:before="120" w:line="240" w:lineRule="auto"/>
              <w:rPr>
                <w:rFonts w:eastAsia="Times New Roman" w:cs="Arial"/>
                <w:sz w:val="20"/>
                <w:szCs w:val="20"/>
                <w:lang w:eastAsia="en-AU"/>
              </w:rPr>
            </w:pPr>
            <w:r w:rsidRPr="003E0411">
              <w:rPr>
                <w:rFonts w:eastAsia="Times New Roman" w:cs="Arial"/>
                <w:sz w:val="20"/>
                <w:szCs w:val="20"/>
                <w:lang w:eastAsia="en-AU"/>
              </w:rPr>
              <w:t> </w:t>
            </w:r>
          </w:p>
        </w:tc>
        <w:tc>
          <w:tcPr>
            <w:tcW w:w="941" w:type="dxa"/>
            <w:shd w:val="clear" w:color="auto" w:fill="auto"/>
            <w:noWrap/>
            <w:vAlign w:val="bottom"/>
            <w:hideMark/>
          </w:tcPr>
          <w:p w14:paraId="354DF4D3" w14:textId="77777777" w:rsidR="00BA1F5A" w:rsidRPr="003E0411" w:rsidRDefault="00BA1F5A" w:rsidP="00BA1F5A">
            <w:pPr>
              <w:spacing w:before="120" w:line="240" w:lineRule="auto"/>
              <w:rPr>
                <w:rFonts w:eastAsia="Times New Roman" w:cs="Arial"/>
                <w:sz w:val="20"/>
                <w:szCs w:val="20"/>
                <w:lang w:eastAsia="en-AU"/>
              </w:rPr>
            </w:pPr>
            <w:r w:rsidRPr="003E0411">
              <w:rPr>
                <w:rFonts w:eastAsia="Times New Roman" w:cs="Arial"/>
                <w:sz w:val="20"/>
                <w:szCs w:val="20"/>
                <w:lang w:eastAsia="en-AU"/>
              </w:rPr>
              <w:t> </w:t>
            </w:r>
          </w:p>
        </w:tc>
        <w:tc>
          <w:tcPr>
            <w:tcW w:w="941" w:type="dxa"/>
            <w:shd w:val="clear" w:color="auto" w:fill="auto"/>
            <w:noWrap/>
            <w:vAlign w:val="bottom"/>
            <w:hideMark/>
          </w:tcPr>
          <w:p w14:paraId="0AB60544" w14:textId="77777777" w:rsidR="00BA1F5A" w:rsidRPr="003E0411" w:rsidRDefault="00BA1F5A" w:rsidP="00BA1F5A">
            <w:pPr>
              <w:spacing w:before="120" w:line="240" w:lineRule="auto"/>
              <w:rPr>
                <w:rFonts w:eastAsia="Times New Roman" w:cs="Arial"/>
                <w:sz w:val="20"/>
                <w:szCs w:val="20"/>
                <w:lang w:eastAsia="en-AU"/>
              </w:rPr>
            </w:pPr>
            <w:r w:rsidRPr="003E0411">
              <w:rPr>
                <w:rFonts w:eastAsia="Times New Roman" w:cs="Arial"/>
                <w:sz w:val="20"/>
                <w:szCs w:val="20"/>
                <w:lang w:eastAsia="en-AU"/>
              </w:rPr>
              <w:t> </w:t>
            </w:r>
          </w:p>
        </w:tc>
        <w:tc>
          <w:tcPr>
            <w:tcW w:w="941" w:type="dxa"/>
            <w:shd w:val="clear" w:color="auto" w:fill="auto"/>
            <w:noWrap/>
            <w:vAlign w:val="bottom"/>
            <w:hideMark/>
          </w:tcPr>
          <w:p w14:paraId="03F4C78A" w14:textId="77777777" w:rsidR="00BA1F5A" w:rsidRPr="003E0411" w:rsidRDefault="00BA1F5A" w:rsidP="00BA1F5A">
            <w:pPr>
              <w:spacing w:before="120" w:line="240" w:lineRule="auto"/>
              <w:rPr>
                <w:rFonts w:eastAsia="Times New Roman" w:cs="Arial"/>
                <w:sz w:val="20"/>
                <w:szCs w:val="20"/>
                <w:lang w:eastAsia="en-AU"/>
              </w:rPr>
            </w:pPr>
            <w:r w:rsidRPr="003E0411">
              <w:rPr>
                <w:rFonts w:eastAsia="Times New Roman" w:cs="Arial"/>
                <w:sz w:val="20"/>
                <w:szCs w:val="20"/>
                <w:lang w:eastAsia="en-AU"/>
              </w:rPr>
              <w:t> </w:t>
            </w:r>
          </w:p>
        </w:tc>
        <w:tc>
          <w:tcPr>
            <w:tcW w:w="941" w:type="dxa"/>
            <w:shd w:val="clear" w:color="auto" w:fill="auto"/>
            <w:noWrap/>
            <w:vAlign w:val="bottom"/>
            <w:hideMark/>
          </w:tcPr>
          <w:p w14:paraId="6097B7B2" w14:textId="77777777" w:rsidR="00BA1F5A" w:rsidRPr="003E0411" w:rsidRDefault="00BA1F5A" w:rsidP="00BA1F5A">
            <w:pPr>
              <w:spacing w:before="120" w:line="240" w:lineRule="auto"/>
              <w:rPr>
                <w:rFonts w:eastAsia="Times New Roman" w:cs="Arial"/>
                <w:sz w:val="20"/>
                <w:szCs w:val="20"/>
                <w:lang w:eastAsia="en-AU"/>
              </w:rPr>
            </w:pPr>
            <w:r w:rsidRPr="003E0411">
              <w:rPr>
                <w:rFonts w:eastAsia="Times New Roman" w:cs="Arial"/>
                <w:sz w:val="20"/>
                <w:szCs w:val="20"/>
                <w:lang w:eastAsia="en-AU"/>
              </w:rPr>
              <w:t> </w:t>
            </w:r>
          </w:p>
        </w:tc>
        <w:tc>
          <w:tcPr>
            <w:tcW w:w="941" w:type="dxa"/>
            <w:shd w:val="clear" w:color="auto" w:fill="auto"/>
            <w:noWrap/>
            <w:vAlign w:val="bottom"/>
            <w:hideMark/>
          </w:tcPr>
          <w:p w14:paraId="376F1B34" w14:textId="77777777" w:rsidR="00BA1F5A" w:rsidRPr="003E0411" w:rsidRDefault="00BA1F5A" w:rsidP="00BA1F5A">
            <w:pPr>
              <w:spacing w:before="120" w:line="240" w:lineRule="auto"/>
              <w:rPr>
                <w:rFonts w:eastAsia="Times New Roman" w:cs="Arial"/>
                <w:sz w:val="20"/>
                <w:szCs w:val="20"/>
                <w:lang w:eastAsia="en-AU"/>
              </w:rPr>
            </w:pPr>
            <w:r w:rsidRPr="003E0411">
              <w:rPr>
                <w:rFonts w:eastAsia="Times New Roman" w:cs="Arial"/>
                <w:sz w:val="20"/>
                <w:szCs w:val="20"/>
                <w:lang w:eastAsia="en-AU"/>
              </w:rPr>
              <w:t> </w:t>
            </w:r>
          </w:p>
        </w:tc>
        <w:tc>
          <w:tcPr>
            <w:tcW w:w="941" w:type="dxa"/>
            <w:shd w:val="clear" w:color="auto" w:fill="auto"/>
            <w:noWrap/>
            <w:vAlign w:val="bottom"/>
            <w:hideMark/>
          </w:tcPr>
          <w:p w14:paraId="3C73772D" w14:textId="77777777" w:rsidR="00BA1F5A" w:rsidRPr="003E0411" w:rsidRDefault="00BA1F5A" w:rsidP="00BA1F5A">
            <w:pPr>
              <w:spacing w:before="120" w:line="240" w:lineRule="auto"/>
              <w:rPr>
                <w:rFonts w:eastAsia="Times New Roman" w:cs="Arial"/>
                <w:sz w:val="20"/>
                <w:szCs w:val="20"/>
                <w:lang w:eastAsia="en-AU"/>
              </w:rPr>
            </w:pPr>
            <w:r w:rsidRPr="003E0411">
              <w:rPr>
                <w:rFonts w:eastAsia="Times New Roman" w:cs="Arial"/>
                <w:sz w:val="20"/>
                <w:szCs w:val="20"/>
                <w:lang w:eastAsia="en-AU"/>
              </w:rPr>
              <w:t> </w:t>
            </w:r>
          </w:p>
        </w:tc>
        <w:tc>
          <w:tcPr>
            <w:tcW w:w="941" w:type="dxa"/>
            <w:shd w:val="clear" w:color="auto" w:fill="auto"/>
            <w:noWrap/>
            <w:vAlign w:val="bottom"/>
            <w:hideMark/>
          </w:tcPr>
          <w:p w14:paraId="34AFD8A8" w14:textId="77777777" w:rsidR="00BA1F5A" w:rsidRPr="003E0411" w:rsidRDefault="00BA1F5A" w:rsidP="00BA1F5A">
            <w:pPr>
              <w:spacing w:before="120" w:line="240" w:lineRule="auto"/>
              <w:rPr>
                <w:rFonts w:eastAsia="Times New Roman" w:cs="Arial"/>
                <w:sz w:val="20"/>
                <w:szCs w:val="20"/>
                <w:lang w:eastAsia="en-AU"/>
              </w:rPr>
            </w:pPr>
            <w:r w:rsidRPr="003E0411">
              <w:rPr>
                <w:rFonts w:eastAsia="Times New Roman" w:cs="Arial"/>
                <w:sz w:val="20"/>
                <w:szCs w:val="20"/>
                <w:lang w:eastAsia="en-AU"/>
              </w:rPr>
              <w:t> </w:t>
            </w:r>
          </w:p>
        </w:tc>
        <w:tc>
          <w:tcPr>
            <w:tcW w:w="941" w:type="dxa"/>
            <w:vAlign w:val="bottom"/>
          </w:tcPr>
          <w:p w14:paraId="591780AB" w14:textId="77777777" w:rsidR="00BA1F5A" w:rsidRPr="003E0411" w:rsidRDefault="00BA1F5A" w:rsidP="00BA1F5A">
            <w:pPr>
              <w:spacing w:before="120" w:line="240" w:lineRule="auto"/>
              <w:rPr>
                <w:rFonts w:eastAsia="Times New Roman" w:cs="Arial"/>
                <w:sz w:val="20"/>
                <w:szCs w:val="20"/>
                <w:lang w:eastAsia="en-AU"/>
              </w:rPr>
            </w:pPr>
          </w:p>
        </w:tc>
      </w:tr>
      <w:tr w:rsidR="00BA1F5A" w:rsidRPr="003E0411" w14:paraId="4F9CF8EA" w14:textId="77777777" w:rsidTr="00753E8D">
        <w:trPr>
          <w:trHeight w:val="255"/>
        </w:trPr>
        <w:tc>
          <w:tcPr>
            <w:tcW w:w="2449" w:type="dxa"/>
            <w:shd w:val="clear" w:color="auto" w:fill="auto"/>
            <w:noWrap/>
            <w:vAlign w:val="bottom"/>
            <w:hideMark/>
          </w:tcPr>
          <w:p w14:paraId="7BECBA56" w14:textId="77777777" w:rsidR="00BA1F5A" w:rsidRPr="003E0411" w:rsidRDefault="00BA1F5A" w:rsidP="00BA1F5A">
            <w:pPr>
              <w:spacing w:before="120" w:line="240" w:lineRule="auto"/>
              <w:rPr>
                <w:rFonts w:eastAsia="Times New Roman" w:cs="Arial"/>
                <w:b/>
                <w:bCs/>
                <w:sz w:val="20"/>
                <w:szCs w:val="20"/>
                <w:lang w:eastAsia="en-AU"/>
              </w:rPr>
            </w:pPr>
            <w:r w:rsidRPr="003E0411">
              <w:rPr>
                <w:rFonts w:eastAsia="Times New Roman" w:cs="Arial"/>
                <w:b/>
                <w:bCs/>
                <w:sz w:val="20"/>
                <w:szCs w:val="20"/>
                <w:lang w:eastAsia="en-AU"/>
              </w:rPr>
              <w:t>Total</w:t>
            </w:r>
          </w:p>
        </w:tc>
        <w:tc>
          <w:tcPr>
            <w:tcW w:w="941" w:type="dxa"/>
            <w:shd w:val="clear" w:color="auto" w:fill="auto"/>
            <w:noWrap/>
            <w:vAlign w:val="bottom"/>
            <w:hideMark/>
          </w:tcPr>
          <w:p w14:paraId="43B572E6" w14:textId="77777777" w:rsidR="00BA1F5A" w:rsidRPr="003E0411" w:rsidRDefault="00BA1F5A" w:rsidP="00BA1F5A">
            <w:pPr>
              <w:spacing w:before="120" w:line="240" w:lineRule="auto"/>
              <w:jc w:val="right"/>
              <w:rPr>
                <w:rFonts w:eastAsia="Times New Roman" w:cs="Arial"/>
                <w:b/>
                <w:bCs/>
                <w:sz w:val="20"/>
                <w:szCs w:val="20"/>
                <w:lang w:eastAsia="en-AU"/>
              </w:rPr>
            </w:pPr>
            <w:r w:rsidRPr="003E0411">
              <w:rPr>
                <w:rFonts w:eastAsia="Times New Roman" w:cs="Arial"/>
                <w:b/>
                <w:bCs/>
                <w:sz w:val="20"/>
                <w:szCs w:val="20"/>
                <w:lang w:eastAsia="en-AU"/>
              </w:rPr>
              <w:t>247</w:t>
            </w:r>
          </w:p>
        </w:tc>
        <w:tc>
          <w:tcPr>
            <w:tcW w:w="941" w:type="dxa"/>
            <w:shd w:val="clear" w:color="auto" w:fill="auto"/>
            <w:noWrap/>
            <w:vAlign w:val="bottom"/>
            <w:hideMark/>
          </w:tcPr>
          <w:p w14:paraId="2305AC8F" w14:textId="77777777" w:rsidR="00BA1F5A" w:rsidRPr="003E0411" w:rsidRDefault="00BA1F5A" w:rsidP="00BA1F5A">
            <w:pPr>
              <w:spacing w:before="120" w:line="240" w:lineRule="auto"/>
              <w:jc w:val="right"/>
              <w:rPr>
                <w:rFonts w:eastAsia="Times New Roman" w:cs="Arial"/>
                <w:b/>
                <w:bCs/>
                <w:sz w:val="20"/>
                <w:szCs w:val="20"/>
                <w:lang w:eastAsia="en-AU"/>
              </w:rPr>
            </w:pPr>
            <w:r w:rsidRPr="003E0411">
              <w:rPr>
                <w:rFonts w:eastAsia="Times New Roman" w:cs="Arial"/>
                <w:b/>
                <w:bCs/>
                <w:sz w:val="20"/>
                <w:szCs w:val="20"/>
                <w:lang w:eastAsia="en-AU"/>
              </w:rPr>
              <w:t>215</w:t>
            </w:r>
          </w:p>
        </w:tc>
        <w:tc>
          <w:tcPr>
            <w:tcW w:w="941" w:type="dxa"/>
            <w:shd w:val="clear" w:color="auto" w:fill="auto"/>
            <w:noWrap/>
            <w:vAlign w:val="bottom"/>
            <w:hideMark/>
          </w:tcPr>
          <w:p w14:paraId="2BB9BCF9" w14:textId="77777777" w:rsidR="00BA1F5A" w:rsidRPr="003E0411" w:rsidRDefault="00BA1F5A" w:rsidP="00BA1F5A">
            <w:pPr>
              <w:spacing w:before="120" w:line="240" w:lineRule="auto"/>
              <w:jc w:val="right"/>
              <w:rPr>
                <w:rFonts w:eastAsia="Times New Roman" w:cs="Arial"/>
                <w:b/>
                <w:bCs/>
                <w:sz w:val="20"/>
                <w:szCs w:val="20"/>
                <w:lang w:eastAsia="en-AU"/>
              </w:rPr>
            </w:pPr>
            <w:r w:rsidRPr="003E0411">
              <w:rPr>
                <w:rFonts w:eastAsia="Times New Roman" w:cs="Arial"/>
                <w:b/>
                <w:bCs/>
                <w:sz w:val="20"/>
                <w:szCs w:val="20"/>
                <w:lang w:eastAsia="en-AU"/>
              </w:rPr>
              <w:t>202</w:t>
            </w:r>
          </w:p>
        </w:tc>
        <w:tc>
          <w:tcPr>
            <w:tcW w:w="941" w:type="dxa"/>
            <w:shd w:val="clear" w:color="auto" w:fill="auto"/>
            <w:noWrap/>
            <w:vAlign w:val="bottom"/>
            <w:hideMark/>
          </w:tcPr>
          <w:p w14:paraId="0F9359D4" w14:textId="77777777" w:rsidR="00BA1F5A" w:rsidRPr="003E0411" w:rsidRDefault="00BA1F5A" w:rsidP="00BA1F5A">
            <w:pPr>
              <w:spacing w:before="120" w:line="240" w:lineRule="auto"/>
              <w:jc w:val="right"/>
              <w:rPr>
                <w:rFonts w:eastAsia="Times New Roman" w:cs="Arial"/>
                <w:b/>
                <w:bCs/>
                <w:sz w:val="20"/>
                <w:szCs w:val="20"/>
                <w:lang w:eastAsia="en-AU"/>
              </w:rPr>
            </w:pPr>
            <w:r w:rsidRPr="003E0411">
              <w:rPr>
                <w:rFonts w:eastAsia="Times New Roman" w:cs="Arial"/>
                <w:b/>
                <w:bCs/>
                <w:sz w:val="20"/>
                <w:szCs w:val="20"/>
                <w:lang w:eastAsia="en-AU"/>
              </w:rPr>
              <w:t>157</w:t>
            </w:r>
          </w:p>
        </w:tc>
        <w:tc>
          <w:tcPr>
            <w:tcW w:w="941" w:type="dxa"/>
            <w:shd w:val="clear" w:color="auto" w:fill="auto"/>
            <w:noWrap/>
            <w:vAlign w:val="bottom"/>
            <w:hideMark/>
          </w:tcPr>
          <w:p w14:paraId="22E9C46D" w14:textId="77777777" w:rsidR="00BA1F5A" w:rsidRPr="003E0411" w:rsidRDefault="00BA1F5A" w:rsidP="00BA1F5A">
            <w:pPr>
              <w:spacing w:before="120" w:line="240" w:lineRule="auto"/>
              <w:jc w:val="right"/>
              <w:rPr>
                <w:rFonts w:eastAsia="Times New Roman" w:cs="Arial"/>
                <w:b/>
                <w:bCs/>
                <w:sz w:val="20"/>
                <w:szCs w:val="20"/>
                <w:lang w:eastAsia="en-AU"/>
              </w:rPr>
            </w:pPr>
            <w:r w:rsidRPr="003E0411">
              <w:rPr>
                <w:rFonts w:eastAsia="Times New Roman" w:cs="Arial"/>
                <w:b/>
                <w:bCs/>
                <w:sz w:val="20"/>
                <w:szCs w:val="20"/>
                <w:lang w:eastAsia="en-AU"/>
              </w:rPr>
              <w:t>146</w:t>
            </w:r>
          </w:p>
        </w:tc>
        <w:tc>
          <w:tcPr>
            <w:tcW w:w="941" w:type="dxa"/>
            <w:shd w:val="clear" w:color="auto" w:fill="auto"/>
            <w:noWrap/>
            <w:vAlign w:val="bottom"/>
            <w:hideMark/>
          </w:tcPr>
          <w:p w14:paraId="7D215C17" w14:textId="77777777" w:rsidR="00BA1F5A" w:rsidRPr="003E0411" w:rsidRDefault="00BA1F5A" w:rsidP="00BA1F5A">
            <w:pPr>
              <w:spacing w:before="120" w:line="240" w:lineRule="auto"/>
              <w:jc w:val="right"/>
              <w:rPr>
                <w:rFonts w:eastAsia="Times New Roman" w:cs="Arial"/>
                <w:b/>
                <w:bCs/>
                <w:sz w:val="20"/>
                <w:szCs w:val="20"/>
                <w:lang w:eastAsia="en-AU"/>
              </w:rPr>
            </w:pPr>
            <w:r w:rsidRPr="003E0411">
              <w:rPr>
                <w:rFonts w:eastAsia="Times New Roman" w:cs="Arial"/>
                <w:b/>
                <w:bCs/>
                <w:sz w:val="20"/>
                <w:szCs w:val="20"/>
                <w:lang w:eastAsia="en-AU"/>
              </w:rPr>
              <w:t>122</w:t>
            </w:r>
          </w:p>
        </w:tc>
        <w:tc>
          <w:tcPr>
            <w:tcW w:w="941" w:type="dxa"/>
            <w:shd w:val="clear" w:color="auto" w:fill="auto"/>
            <w:noWrap/>
            <w:vAlign w:val="bottom"/>
            <w:hideMark/>
          </w:tcPr>
          <w:p w14:paraId="03D6DE0A" w14:textId="77777777" w:rsidR="00BA1F5A" w:rsidRPr="003E0411" w:rsidRDefault="00BA1F5A" w:rsidP="00BA1F5A">
            <w:pPr>
              <w:spacing w:before="120" w:line="240" w:lineRule="auto"/>
              <w:jc w:val="right"/>
              <w:rPr>
                <w:rFonts w:eastAsia="Times New Roman" w:cs="Arial"/>
                <w:b/>
                <w:bCs/>
                <w:sz w:val="20"/>
                <w:szCs w:val="20"/>
                <w:lang w:eastAsia="en-AU"/>
              </w:rPr>
            </w:pPr>
            <w:r w:rsidRPr="003E0411">
              <w:rPr>
                <w:rFonts w:eastAsia="Times New Roman" w:cs="Arial"/>
                <w:b/>
                <w:bCs/>
                <w:sz w:val="20"/>
                <w:szCs w:val="20"/>
                <w:lang w:eastAsia="en-AU"/>
              </w:rPr>
              <w:t>108</w:t>
            </w:r>
          </w:p>
        </w:tc>
        <w:tc>
          <w:tcPr>
            <w:tcW w:w="941" w:type="dxa"/>
            <w:vAlign w:val="bottom"/>
          </w:tcPr>
          <w:p w14:paraId="6510C686" w14:textId="77777777" w:rsidR="00BA1F5A" w:rsidRPr="003E0411" w:rsidRDefault="00A77CE0" w:rsidP="00BA1F5A">
            <w:pPr>
              <w:spacing w:before="120" w:line="240" w:lineRule="auto"/>
              <w:jc w:val="right"/>
              <w:rPr>
                <w:rFonts w:eastAsia="Times New Roman" w:cs="Arial"/>
                <w:b/>
                <w:bCs/>
                <w:sz w:val="20"/>
                <w:szCs w:val="20"/>
                <w:lang w:eastAsia="en-AU"/>
              </w:rPr>
            </w:pPr>
            <w:r>
              <w:rPr>
                <w:rFonts w:eastAsia="Times New Roman" w:cs="Arial"/>
                <w:b/>
                <w:bCs/>
                <w:sz w:val="20"/>
                <w:szCs w:val="20"/>
                <w:lang w:eastAsia="en-AU"/>
              </w:rPr>
              <w:t>137</w:t>
            </w:r>
          </w:p>
        </w:tc>
      </w:tr>
    </w:tbl>
    <w:p w14:paraId="54061AF9" w14:textId="77777777" w:rsidR="00BA1F5A" w:rsidRDefault="00BA1F5A" w:rsidP="00C37155">
      <w:pPr>
        <w:ind w:left="567"/>
        <w:rPr>
          <w:sz w:val="24"/>
        </w:rPr>
      </w:pPr>
    </w:p>
    <w:tbl>
      <w:tblPr>
        <w:tblW w:w="9977"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449"/>
        <w:gridCol w:w="941"/>
        <w:gridCol w:w="941"/>
        <w:gridCol w:w="941"/>
        <w:gridCol w:w="941"/>
        <w:gridCol w:w="941"/>
        <w:gridCol w:w="941"/>
        <w:gridCol w:w="941"/>
        <w:gridCol w:w="941"/>
      </w:tblGrid>
      <w:tr w:rsidR="0011727C" w:rsidRPr="00A1521B" w14:paraId="02C9389A" w14:textId="77777777" w:rsidTr="00F34B90">
        <w:trPr>
          <w:trHeight w:val="255"/>
        </w:trPr>
        <w:tc>
          <w:tcPr>
            <w:tcW w:w="2449" w:type="dxa"/>
            <w:shd w:val="clear" w:color="auto" w:fill="7F7F7F"/>
            <w:noWrap/>
            <w:vAlign w:val="bottom"/>
            <w:hideMark/>
          </w:tcPr>
          <w:p w14:paraId="0945A6DD" w14:textId="77777777" w:rsidR="0011727C" w:rsidRPr="00F77CC1" w:rsidRDefault="00FD6A1D" w:rsidP="00F34B90">
            <w:pPr>
              <w:spacing w:before="120" w:line="240" w:lineRule="auto"/>
              <w:rPr>
                <w:rFonts w:cs="Arial"/>
                <w:b/>
                <w:bCs/>
                <w:sz w:val="20"/>
                <w:szCs w:val="20"/>
              </w:rPr>
            </w:pPr>
            <w:r>
              <w:rPr>
                <w:rFonts w:cs="Arial"/>
                <w:b/>
                <w:bCs/>
                <w:sz w:val="20"/>
                <w:szCs w:val="20"/>
              </w:rPr>
              <w:t xml:space="preserve">% of </w:t>
            </w:r>
            <w:r w:rsidR="0011727C">
              <w:rPr>
                <w:rFonts w:cs="Arial"/>
                <w:b/>
                <w:bCs/>
                <w:sz w:val="20"/>
                <w:szCs w:val="20"/>
              </w:rPr>
              <w:t>Substantive Decisions</w:t>
            </w:r>
          </w:p>
        </w:tc>
        <w:tc>
          <w:tcPr>
            <w:tcW w:w="941" w:type="dxa"/>
            <w:shd w:val="clear" w:color="auto" w:fill="7F7F7F"/>
            <w:noWrap/>
            <w:vAlign w:val="bottom"/>
            <w:hideMark/>
          </w:tcPr>
          <w:p w14:paraId="501F2F0C" w14:textId="77777777" w:rsidR="0011727C" w:rsidRPr="003E0411" w:rsidRDefault="0011727C" w:rsidP="00F34B90">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2009-10</w:t>
            </w:r>
          </w:p>
        </w:tc>
        <w:tc>
          <w:tcPr>
            <w:tcW w:w="941" w:type="dxa"/>
            <w:shd w:val="clear" w:color="auto" w:fill="7F7F7F"/>
            <w:noWrap/>
            <w:vAlign w:val="bottom"/>
            <w:hideMark/>
          </w:tcPr>
          <w:p w14:paraId="575CB321" w14:textId="77777777" w:rsidR="0011727C" w:rsidRPr="003E0411" w:rsidRDefault="0011727C" w:rsidP="00F34B90">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2010-11</w:t>
            </w:r>
          </w:p>
        </w:tc>
        <w:tc>
          <w:tcPr>
            <w:tcW w:w="941" w:type="dxa"/>
            <w:shd w:val="clear" w:color="auto" w:fill="7F7F7F"/>
            <w:noWrap/>
            <w:vAlign w:val="bottom"/>
            <w:hideMark/>
          </w:tcPr>
          <w:p w14:paraId="1A50D5AD" w14:textId="77777777" w:rsidR="0011727C" w:rsidRPr="003E0411" w:rsidRDefault="0011727C" w:rsidP="00F34B90">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2011-12</w:t>
            </w:r>
          </w:p>
        </w:tc>
        <w:tc>
          <w:tcPr>
            <w:tcW w:w="941" w:type="dxa"/>
            <w:shd w:val="clear" w:color="auto" w:fill="7F7F7F"/>
            <w:noWrap/>
            <w:vAlign w:val="bottom"/>
            <w:hideMark/>
          </w:tcPr>
          <w:p w14:paraId="2A221BC6" w14:textId="77777777" w:rsidR="0011727C" w:rsidRPr="003E0411" w:rsidRDefault="0011727C" w:rsidP="00F34B90">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2012-13</w:t>
            </w:r>
          </w:p>
        </w:tc>
        <w:tc>
          <w:tcPr>
            <w:tcW w:w="941" w:type="dxa"/>
            <w:shd w:val="clear" w:color="auto" w:fill="7F7F7F"/>
            <w:noWrap/>
            <w:vAlign w:val="bottom"/>
            <w:hideMark/>
          </w:tcPr>
          <w:p w14:paraId="7990512B" w14:textId="77777777" w:rsidR="0011727C" w:rsidRPr="003E0411" w:rsidRDefault="0011727C" w:rsidP="00F34B90">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2013-14</w:t>
            </w:r>
          </w:p>
        </w:tc>
        <w:tc>
          <w:tcPr>
            <w:tcW w:w="941" w:type="dxa"/>
            <w:shd w:val="clear" w:color="auto" w:fill="7F7F7F"/>
            <w:noWrap/>
            <w:vAlign w:val="bottom"/>
            <w:hideMark/>
          </w:tcPr>
          <w:p w14:paraId="3086E172" w14:textId="77777777" w:rsidR="0011727C" w:rsidRPr="003E0411" w:rsidRDefault="0011727C" w:rsidP="00F34B90">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2014-15</w:t>
            </w:r>
          </w:p>
        </w:tc>
        <w:tc>
          <w:tcPr>
            <w:tcW w:w="941" w:type="dxa"/>
            <w:shd w:val="clear" w:color="auto" w:fill="7F7F7F"/>
            <w:noWrap/>
            <w:vAlign w:val="bottom"/>
            <w:hideMark/>
          </w:tcPr>
          <w:p w14:paraId="4183B1F3" w14:textId="77777777" w:rsidR="0011727C" w:rsidRPr="003E0411" w:rsidRDefault="0011727C" w:rsidP="00F34B90">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2015-16</w:t>
            </w:r>
          </w:p>
        </w:tc>
        <w:tc>
          <w:tcPr>
            <w:tcW w:w="941" w:type="dxa"/>
            <w:shd w:val="clear" w:color="auto" w:fill="7F7F7F"/>
            <w:vAlign w:val="bottom"/>
          </w:tcPr>
          <w:p w14:paraId="744E8174" w14:textId="77777777" w:rsidR="0011727C" w:rsidRPr="003E0411" w:rsidRDefault="0011727C" w:rsidP="00F34B90">
            <w:pPr>
              <w:spacing w:before="120" w:line="240" w:lineRule="auto"/>
              <w:jc w:val="center"/>
              <w:rPr>
                <w:rFonts w:eastAsia="Times New Roman" w:cs="Arial"/>
                <w:b/>
                <w:bCs/>
                <w:sz w:val="20"/>
                <w:szCs w:val="20"/>
                <w:lang w:eastAsia="en-AU"/>
              </w:rPr>
            </w:pPr>
            <w:r>
              <w:rPr>
                <w:rFonts w:eastAsia="Times New Roman" w:cs="Arial"/>
                <w:b/>
                <w:bCs/>
                <w:sz w:val="20"/>
                <w:szCs w:val="20"/>
                <w:lang w:eastAsia="en-AU"/>
              </w:rPr>
              <w:t>2016-17</w:t>
            </w:r>
          </w:p>
        </w:tc>
      </w:tr>
      <w:tr w:rsidR="0011727C" w:rsidRPr="003E0411" w14:paraId="257FC636" w14:textId="77777777" w:rsidTr="00F34B90">
        <w:trPr>
          <w:trHeight w:val="255"/>
        </w:trPr>
        <w:tc>
          <w:tcPr>
            <w:tcW w:w="2449" w:type="dxa"/>
            <w:shd w:val="clear" w:color="auto" w:fill="auto"/>
            <w:noWrap/>
            <w:vAlign w:val="bottom"/>
          </w:tcPr>
          <w:p w14:paraId="7C8D305A" w14:textId="77777777" w:rsidR="0011727C" w:rsidRPr="003E0411" w:rsidRDefault="0011727C" w:rsidP="00F34B90">
            <w:pPr>
              <w:spacing w:before="120" w:line="240" w:lineRule="auto"/>
              <w:rPr>
                <w:rFonts w:cs="Arial"/>
                <w:sz w:val="20"/>
                <w:szCs w:val="20"/>
              </w:rPr>
            </w:pPr>
            <w:r w:rsidRPr="003E0411">
              <w:rPr>
                <w:rFonts w:cs="Arial"/>
                <w:sz w:val="20"/>
                <w:szCs w:val="20"/>
              </w:rPr>
              <w:t>Total For Year</w:t>
            </w:r>
          </w:p>
        </w:tc>
        <w:tc>
          <w:tcPr>
            <w:tcW w:w="941" w:type="dxa"/>
            <w:shd w:val="clear" w:color="auto" w:fill="auto"/>
            <w:noWrap/>
            <w:vAlign w:val="bottom"/>
          </w:tcPr>
          <w:p w14:paraId="4F84E6AE" w14:textId="77777777" w:rsidR="0011727C" w:rsidRPr="003E0411" w:rsidRDefault="0011727C" w:rsidP="00F34B90">
            <w:pPr>
              <w:spacing w:before="120" w:line="240" w:lineRule="auto"/>
              <w:jc w:val="right"/>
              <w:rPr>
                <w:rFonts w:cs="Arial"/>
                <w:sz w:val="20"/>
                <w:szCs w:val="20"/>
              </w:rPr>
            </w:pPr>
            <w:r w:rsidRPr="003E0411">
              <w:rPr>
                <w:rFonts w:cs="Arial"/>
                <w:sz w:val="20"/>
                <w:szCs w:val="20"/>
              </w:rPr>
              <w:t>175</w:t>
            </w:r>
          </w:p>
        </w:tc>
        <w:tc>
          <w:tcPr>
            <w:tcW w:w="941" w:type="dxa"/>
            <w:shd w:val="clear" w:color="auto" w:fill="auto"/>
            <w:noWrap/>
            <w:vAlign w:val="bottom"/>
          </w:tcPr>
          <w:p w14:paraId="3892870A" w14:textId="77777777" w:rsidR="0011727C" w:rsidRPr="003E0411" w:rsidRDefault="0011727C" w:rsidP="00F34B90">
            <w:pPr>
              <w:spacing w:before="120" w:line="240" w:lineRule="auto"/>
              <w:jc w:val="right"/>
              <w:rPr>
                <w:rFonts w:cs="Arial"/>
                <w:sz w:val="20"/>
                <w:szCs w:val="20"/>
              </w:rPr>
            </w:pPr>
            <w:r w:rsidRPr="003E0411">
              <w:rPr>
                <w:rFonts w:cs="Arial"/>
                <w:sz w:val="20"/>
                <w:szCs w:val="20"/>
              </w:rPr>
              <w:t>158</w:t>
            </w:r>
          </w:p>
        </w:tc>
        <w:tc>
          <w:tcPr>
            <w:tcW w:w="941" w:type="dxa"/>
            <w:shd w:val="clear" w:color="auto" w:fill="auto"/>
            <w:noWrap/>
            <w:vAlign w:val="bottom"/>
          </w:tcPr>
          <w:p w14:paraId="68535EB3" w14:textId="77777777" w:rsidR="0011727C" w:rsidRPr="003E0411" w:rsidRDefault="0011727C" w:rsidP="00F34B90">
            <w:pPr>
              <w:spacing w:before="120" w:line="240" w:lineRule="auto"/>
              <w:jc w:val="right"/>
              <w:rPr>
                <w:rFonts w:cs="Arial"/>
                <w:sz w:val="20"/>
                <w:szCs w:val="20"/>
              </w:rPr>
            </w:pPr>
            <w:r w:rsidRPr="003E0411">
              <w:rPr>
                <w:rFonts w:cs="Arial"/>
                <w:sz w:val="20"/>
                <w:szCs w:val="20"/>
              </w:rPr>
              <w:t>165</w:t>
            </w:r>
          </w:p>
        </w:tc>
        <w:tc>
          <w:tcPr>
            <w:tcW w:w="941" w:type="dxa"/>
            <w:shd w:val="clear" w:color="auto" w:fill="auto"/>
            <w:noWrap/>
            <w:vAlign w:val="bottom"/>
          </w:tcPr>
          <w:p w14:paraId="6164F196" w14:textId="77777777" w:rsidR="0011727C" w:rsidRPr="003E0411" w:rsidRDefault="0011727C" w:rsidP="00F34B90">
            <w:pPr>
              <w:spacing w:before="120" w:line="240" w:lineRule="auto"/>
              <w:jc w:val="right"/>
              <w:rPr>
                <w:rFonts w:cs="Arial"/>
                <w:sz w:val="20"/>
                <w:szCs w:val="20"/>
              </w:rPr>
            </w:pPr>
            <w:r w:rsidRPr="003E0411">
              <w:rPr>
                <w:rFonts w:cs="Arial"/>
                <w:sz w:val="20"/>
                <w:szCs w:val="20"/>
              </w:rPr>
              <w:t>97</w:t>
            </w:r>
          </w:p>
        </w:tc>
        <w:tc>
          <w:tcPr>
            <w:tcW w:w="941" w:type="dxa"/>
            <w:shd w:val="clear" w:color="auto" w:fill="auto"/>
            <w:noWrap/>
            <w:vAlign w:val="bottom"/>
          </w:tcPr>
          <w:p w14:paraId="7894EB4B" w14:textId="77777777" w:rsidR="0011727C" w:rsidRPr="003E0411" w:rsidRDefault="0011727C" w:rsidP="00F34B90">
            <w:pPr>
              <w:spacing w:before="120" w:line="240" w:lineRule="auto"/>
              <w:jc w:val="right"/>
              <w:rPr>
                <w:rFonts w:cs="Arial"/>
                <w:sz w:val="20"/>
                <w:szCs w:val="20"/>
              </w:rPr>
            </w:pPr>
            <w:r w:rsidRPr="003E0411">
              <w:rPr>
                <w:rFonts w:cs="Arial"/>
                <w:sz w:val="20"/>
                <w:szCs w:val="20"/>
              </w:rPr>
              <w:t>85</w:t>
            </w:r>
          </w:p>
        </w:tc>
        <w:tc>
          <w:tcPr>
            <w:tcW w:w="941" w:type="dxa"/>
            <w:shd w:val="clear" w:color="auto" w:fill="auto"/>
            <w:noWrap/>
            <w:vAlign w:val="bottom"/>
          </w:tcPr>
          <w:p w14:paraId="04139A5B" w14:textId="77777777" w:rsidR="0011727C" w:rsidRPr="003E0411" w:rsidRDefault="0011727C" w:rsidP="00F34B90">
            <w:pPr>
              <w:spacing w:before="120" w:line="240" w:lineRule="auto"/>
              <w:jc w:val="right"/>
              <w:rPr>
                <w:rFonts w:cs="Arial"/>
                <w:sz w:val="20"/>
                <w:szCs w:val="20"/>
              </w:rPr>
            </w:pPr>
            <w:r w:rsidRPr="003E0411">
              <w:rPr>
                <w:rFonts w:cs="Arial"/>
                <w:sz w:val="20"/>
                <w:szCs w:val="20"/>
              </w:rPr>
              <w:t>72</w:t>
            </w:r>
          </w:p>
        </w:tc>
        <w:tc>
          <w:tcPr>
            <w:tcW w:w="941" w:type="dxa"/>
            <w:shd w:val="clear" w:color="auto" w:fill="auto"/>
            <w:noWrap/>
            <w:vAlign w:val="bottom"/>
          </w:tcPr>
          <w:p w14:paraId="7F153D24" w14:textId="77777777" w:rsidR="0011727C" w:rsidRPr="003E0411" w:rsidRDefault="0011727C" w:rsidP="00F34B90">
            <w:pPr>
              <w:spacing w:before="120" w:line="240" w:lineRule="auto"/>
              <w:jc w:val="right"/>
              <w:rPr>
                <w:rFonts w:cs="Arial"/>
                <w:sz w:val="20"/>
                <w:szCs w:val="20"/>
              </w:rPr>
            </w:pPr>
            <w:r w:rsidRPr="003E0411">
              <w:rPr>
                <w:rFonts w:cs="Arial"/>
                <w:sz w:val="20"/>
                <w:szCs w:val="20"/>
              </w:rPr>
              <w:t>69</w:t>
            </w:r>
          </w:p>
        </w:tc>
        <w:tc>
          <w:tcPr>
            <w:tcW w:w="941" w:type="dxa"/>
            <w:vAlign w:val="bottom"/>
          </w:tcPr>
          <w:p w14:paraId="6CD79519" w14:textId="77777777" w:rsidR="0011727C" w:rsidRPr="003E0411" w:rsidRDefault="0011727C" w:rsidP="00F34B90">
            <w:pPr>
              <w:spacing w:before="120" w:line="240" w:lineRule="auto"/>
              <w:jc w:val="right"/>
              <w:rPr>
                <w:rFonts w:cs="Arial"/>
                <w:sz w:val="20"/>
                <w:szCs w:val="20"/>
              </w:rPr>
            </w:pPr>
            <w:r>
              <w:rPr>
                <w:rFonts w:cs="Arial"/>
                <w:sz w:val="20"/>
                <w:szCs w:val="20"/>
              </w:rPr>
              <w:t>101</w:t>
            </w:r>
          </w:p>
        </w:tc>
      </w:tr>
      <w:tr w:rsidR="0011727C" w:rsidRPr="003E0411" w14:paraId="5462621D" w14:textId="77777777" w:rsidTr="00F34B90">
        <w:trPr>
          <w:trHeight w:val="255"/>
        </w:trPr>
        <w:tc>
          <w:tcPr>
            <w:tcW w:w="2449" w:type="dxa"/>
            <w:shd w:val="clear" w:color="auto" w:fill="auto"/>
            <w:noWrap/>
            <w:vAlign w:val="bottom"/>
            <w:hideMark/>
          </w:tcPr>
          <w:p w14:paraId="31E3CF46" w14:textId="77777777" w:rsidR="0011727C" w:rsidRPr="003E0411" w:rsidRDefault="0011727C" w:rsidP="00F34B90">
            <w:pPr>
              <w:spacing w:before="120" w:line="240" w:lineRule="auto"/>
              <w:rPr>
                <w:rFonts w:eastAsia="Times New Roman" w:cs="Arial"/>
                <w:sz w:val="20"/>
                <w:szCs w:val="20"/>
                <w:lang w:eastAsia="en-AU"/>
              </w:rPr>
            </w:pPr>
            <w:r w:rsidRPr="003E0411">
              <w:rPr>
                <w:rFonts w:eastAsia="Times New Roman" w:cs="Arial"/>
                <w:sz w:val="20"/>
                <w:szCs w:val="20"/>
                <w:lang w:eastAsia="en-AU"/>
              </w:rPr>
              <w:t>Interim</w:t>
            </w:r>
          </w:p>
        </w:tc>
        <w:tc>
          <w:tcPr>
            <w:tcW w:w="941" w:type="dxa"/>
            <w:shd w:val="clear" w:color="auto" w:fill="auto"/>
            <w:noWrap/>
            <w:vAlign w:val="bottom"/>
            <w:hideMark/>
          </w:tcPr>
          <w:p w14:paraId="0B93791D"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16.60%</w:t>
            </w:r>
          </w:p>
        </w:tc>
        <w:tc>
          <w:tcPr>
            <w:tcW w:w="941" w:type="dxa"/>
            <w:shd w:val="clear" w:color="auto" w:fill="auto"/>
            <w:noWrap/>
            <w:vAlign w:val="bottom"/>
            <w:hideMark/>
          </w:tcPr>
          <w:p w14:paraId="339A085B"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13.95%</w:t>
            </w:r>
          </w:p>
        </w:tc>
        <w:tc>
          <w:tcPr>
            <w:tcW w:w="941" w:type="dxa"/>
            <w:shd w:val="clear" w:color="auto" w:fill="auto"/>
            <w:noWrap/>
            <w:vAlign w:val="bottom"/>
            <w:hideMark/>
          </w:tcPr>
          <w:p w14:paraId="373F5517"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4.95%</w:t>
            </w:r>
          </w:p>
        </w:tc>
        <w:tc>
          <w:tcPr>
            <w:tcW w:w="941" w:type="dxa"/>
            <w:shd w:val="clear" w:color="auto" w:fill="auto"/>
            <w:noWrap/>
            <w:vAlign w:val="bottom"/>
            <w:hideMark/>
          </w:tcPr>
          <w:p w14:paraId="13B01884"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19.75%</w:t>
            </w:r>
          </w:p>
        </w:tc>
        <w:tc>
          <w:tcPr>
            <w:tcW w:w="941" w:type="dxa"/>
            <w:shd w:val="clear" w:color="auto" w:fill="auto"/>
            <w:noWrap/>
            <w:vAlign w:val="bottom"/>
            <w:hideMark/>
          </w:tcPr>
          <w:p w14:paraId="65A94C87"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16.44%</w:t>
            </w:r>
          </w:p>
        </w:tc>
        <w:tc>
          <w:tcPr>
            <w:tcW w:w="941" w:type="dxa"/>
            <w:shd w:val="clear" w:color="auto" w:fill="auto"/>
            <w:noWrap/>
            <w:vAlign w:val="bottom"/>
            <w:hideMark/>
          </w:tcPr>
          <w:p w14:paraId="2AE9C94F"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30.33%</w:t>
            </w:r>
          </w:p>
        </w:tc>
        <w:tc>
          <w:tcPr>
            <w:tcW w:w="941" w:type="dxa"/>
            <w:shd w:val="clear" w:color="auto" w:fill="auto"/>
            <w:noWrap/>
            <w:vAlign w:val="bottom"/>
            <w:hideMark/>
          </w:tcPr>
          <w:p w14:paraId="65DCB59C"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26.85%</w:t>
            </w:r>
          </w:p>
        </w:tc>
        <w:tc>
          <w:tcPr>
            <w:tcW w:w="941" w:type="dxa"/>
            <w:vAlign w:val="bottom"/>
          </w:tcPr>
          <w:p w14:paraId="5F3020AC" w14:textId="77777777" w:rsidR="0011727C" w:rsidRPr="003E0411" w:rsidRDefault="0011727C" w:rsidP="00F34B90">
            <w:pPr>
              <w:spacing w:before="120" w:line="240" w:lineRule="auto"/>
              <w:jc w:val="right"/>
              <w:rPr>
                <w:rFonts w:eastAsia="Times New Roman" w:cs="Arial"/>
                <w:sz w:val="20"/>
                <w:szCs w:val="20"/>
                <w:lang w:eastAsia="en-AU"/>
              </w:rPr>
            </w:pPr>
            <w:r>
              <w:rPr>
                <w:rFonts w:eastAsia="Times New Roman" w:cs="Arial"/>
                <w:sz w:val="20"/>
                <w:szCs w:val="20"/>
                <w:lang w:eastAsia="en-AU"/>
              </w:rPr>
              <w:t>15.33%</w:t>
            </w:r>
          </w:p>
        </w:tc>
      </w:tr>
      <w:tr w:rsidR="0011727C" w:rsidRPr="003E0411" w14:paraId="692169DE" w14:textId="77777777" w:rsidTr="00F34B90">
        <w:trPr>
          <w:trHeight w:val="255"/>
        </w:trPr>
        <w:tc>
          <w:tcPr>
            <w:tcW w:w="2449" w:type="dxa"/>
            <w:shd w:val="clear" w:color="auto" w:fill="auto"/>
            <w:noWrap/>
            <w:vAlign w:val="bottom"/>
            <w:hideMark/>
          </w:tcPr>
          <w:p w14:paraId="5D5AE77F" w14:textId="77777777" w:rsidR="0011727C" w:rsidRPr="003E0411" w:rsidRDefault="0011727C" w:rsidP="00F34B90">
            <w:pPr>
              <w:spacing w:before="120" w:line="240" w:lineRule="auto"/>
              <w:rPr>
                <w:rFonts w:eastAsia="Times New Roman" w:cs="Arial"/>
                <w:sz w:val="20"/>
                <w:szCs w:val="20"/>
                <w:lang w:eastAsia="en-AU"/>
              </w:rPr>
            </w:pPr>
            <w:r w:rsidRPr="003E0411">
              <w:rPr>
                <w:rFonts w:eastAsia="Times New Roman" w:cs="Arial"/>
                <w:sz w:val="20"/>
                <w:szCs w:val="20"/>
                <w:lang w:eastAsia="en-AU"/>
              </w:rPr>
              <w:t>Costs</w:t>
            </w:r>
          </w:p>
        </w:tc>
        <w:tc>
          <w:tcPr>
            <w:tcW w:w="941" w:type="dxa"/>
            <w:shd w:val="clear" w:color="auto" w:fill="auto"/>
            <w:noWrap/>
            <w:vAlign w:val="bottom"/>
            <w:hideMark/>
          </w:tcPr>
          <w:p w14:paraId="036FE1BC"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12.55%</w:t>
            </w:r>
          </w:p>
        </w:tc>
        <w:tc>
          <w:tcPr>
            <w:tcW w:w="941" w:type="dxa"/>
            <w:shd w:val="clear" w:color="auto" w:fill="auto"/>
            <w:noWrap/>
            <w:vAlign w:val="bottom"/>
            <w:hideMark/>
          </w:tcPr>
          <w:p w14:paraId="7633A0AA"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10.23%</w:t>
            </w:r>
          </w:p>
        </w:tc>
        <w:tc>
          <w:tcPr>
            <w:tcW w:w="941" w:type="dxa"/>
            <w:shd w:val="clear" w:color="auto" w:fill="auto"/>
            <w:noWrap/>
            <w:vAlign w:val="bottom"/>
            <w:hideMark/>
          </w:tcPr>
          <w:p w14:paraId="35A7A2E1"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13.37%</w:t>
            </w:r>
          </w:p>
        </w:tc>
        <w:tc>
          <w:tcPr>
            <w:tcW w:w="941" w:type="dxa"/>
            <w:shd w:val="clear" w:color="auto" w:fill="auto"/>
            <w:noWrap/>
            <w:vAlign w:val="bottom"/>
            <w:hideMark/>
          </w:tcPr>
          <w:p w14:paraId="7B2054CC"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18.47%</w:t>
            </w:r>
          </w:p>
        </w:tc>
        <w:tc>
          <w:tcPr>
            <w:tcW w:w="941" w:type="dxa"/>
            <w:shd w:val="clear" w:color="auto" w:fill="auto"/>
            <w:noWrap/>
            <w:vAlign w:val="bottom"/>
            <w:hideMark/>
          </w:tcPr>
          <w:p w14:paraId="226205C1"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22.60%</w:t>
            </w:r>
          </w:p>
        </w:tc>
        <w:tc>
          <w:tcPr>
            <w:tcW w:w="941" w:type="dxa"/>
            <w:shd w:val="clear" w:color="auto" w:fill="auto"/>
            <w:noWrap/>
            <w:vAlign w:val="bottom"/>
            <w:hideMark/>
          </w:tcPr>
          <w:p w14:paraId="25838978"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9.84%</w:t>
            </w:r>
          </w:p>
        </w:tc>
        <w:tc>
          <w:tcPr>
            <w:tcW w:w="941" w:type="dxa"/>
            <w:shd w:val="clear" w:color="auto" w:fill="auto"/>
            <w:noWrap/>
            <w:vAlign w:val="bottom"/>
            <w:hideMark/>
          </w:tcPr>
          <w:p w14:paraId="423D7797"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9.26%</w:t>
            </w:r>
          </w:p>
        </w:tc>
        <w:tc>
          <w:tcPr>
            <w:tcW w:w="941" w:type="dxa"/>
            <w:vAlign w:val="bottom"/>
          </w:tcPr>
          <w:p w14:paraId="4B21C222" w14:textId="77777777" w:rsidR="0011727C" w:rsidRPr="003E0411" w:rsidRDefault="0011727C" w:rsidP="00F34B90">
            <w:pPr>
              <w:spacing w:before="120" w:line="240" w:lineRule="auto"/>
              <w:jc w:val="right"/>
              <w:rPr>
                <w:rFonts w:eastAsia="Times New Roman" w:cs="Arial"/>
                <w:sz w:val="20"/>
                <w:szCs w:val="20"/>
                <w:lang w:eastAsia="en-AU"/>
              </w:rPr>
            </w:pPr>
            <w:r>
              <w:rPr>
                <w:rFonts w:eastAsia="Times New Roman" w:cs="Arial"/>
                <w:sz w:val="20"/>
                <w:szCs w:val="20"/>
                <w:lang w:eastAsia="en-AU"/>
              </w:rPr>
              <w:t>10.95%</w:t>
            </w:r>
          </w:p>
        </w:tc>
      </w:tr>
      <w:tr w:rsidR="0011727C" w:rsidRPr="003E0411" w14:paraId="2ECA710B" w14:textId="77777777" w:rsidTr="00F34B90">
        <w:trPr>
          <w:trHeight w:val="255"/>
        </w:trPr>
        <w:tc>
          <w:tcPr>
            <w:tcW w:w="2449" w:type="dxa"/>
            <w:shd w:val="clear" w:color="auto" w:fill="auto"/>
            <w:noWrap/>
            <w:vAlign w:val="bottom"/>
            <w:hideMark/>
          </w:tcPr>
          <w:p w14:paraId="41E7497B" w14:textId="77777777" w:rsidR="0011727C" w:rsidRPr="003E0411" w:rsidRDefault="0011727C" w:rsidP="00F34B90">
            <w:pPr>
              <w:spacing w:before="120" w:line="240" w:lineRule="auto"/>
              <w:rPr>
                <w:rFonts w:eastAsia="Times New Roman" w:cs="Arial"/>
                <w:sz w:val="20"/>
                <w:szCs w:val="20"/>
                <w:lang w:eastAsia="en-AU"/>
              </w:rPr>
            </w:pPr>
            <w:r w:rsidRPr="003E0411">
              <w:rPr>
                <w:rFonts w:eastAsia="Times New Roman" w:cs="Arial"/>
                <w:sz w:val="20"/>
                <w:szCs w:val="20"/>
                <w:lang w:eastAsia="en-AU"/>
              </w:rPr>
              <w:t>Consent</w:t>
            </w:r>
          </w:p>
        </w:tc>
        <w:tc>
          <w:tcPr>
            <w:tcW w:w="941" w:type="dxa"/>
            <w:shd w:val="clear" w:color="auto" w:fill="auto"/>
            <w:noWrap/>
            <w:vAlign w:val="bottom"/>
            <w:hideMark/>
          </w:tcPr>
          <w:p w14:paraId="60FAD9BC"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49.80%</w:t>
            </w:r>
          </w:p>
        </w:tc>
        <w:tc>
          <w:tcPr>
            <w:tcW w:w="941" w:type="dxa"/>
            <w:shd w:val="clear" w:color="auto" w:fill="auto"/>
            <w:noWrap/>
            <w:vAlign w:val="bottom"/>
            <w:hideMark/>
          </w:tcPr>
          <w:p w14:paraId="127FEA46"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53.02%</w:t>
            </w:r>
          </w:p>
        </w:tc>
        <w:tc>
          <w:tcPr>
            <w:tcW w:w="941" w:type="dxa"/>
            <w:shd w:val="clear" w:color="auto" w:fill="auto"/>
            <w:noWrap/>
            <w:vAlign w:val="bottom"/>
            <w:hideMark/>
          </w:tcPr>
          <w:p w14:paraId="504B4543"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62.38%</w:t>
            </w:r>
          </w:p>
        </w:tc>
        <w:tc>
          <w:tcPr>
            <w:tcW w:w="941" w:type="dxa"/>
            <w:shd w:val="clear" w:color="auto" w:fill="auto"/>
            <w:noWrap/>
            <w:vAlign w:val="bottom"/>
            <w:hideMark/>
          </w:tcPr>
          <w:p w14:paraId="72AD0044"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50.96%</w:t>
            </w:r>
          </w:p>
        </w:tc>
        <w:tc>
          <w:tcPr>
            <w:tcW w:w="941" w:type="dxa"/>
            <w:shd w:val="clear" w:color="auto" w:fill="auto"/>
            <w:noWrap/>
            <w:vAlign w:val="bottom"/>
            <w:hideMark/>
          </w:tcPr>
          <w:p w14:paraId="71F0243D"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42.47%</w:t>
            </w:r>
          </w:p>
        </w:tc>
        <w:tc>
          <w:tcPr>
            <w:tcW w:w="941" w:type="dxa"/>
            <w:shd w:val="clear" w:color="auto" w:fill="auto"/>
            <w:noWrap/>
            <w:vAlign w:val="bottom"/>
            <w:hideMark/>
          </w:tcPr>
          <w:p w14:paraId="24AB3BF6"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46.72%</w:t>
            </w:r>
          </w:p>
        </w:tc>
        <w:tc>
          <w:tcPr>
            <w:tcW w:w="941" w:type="dxa"/>
            <w:shd w:val="clear" w:color="auto" w:fill="auto"/>
            <w:noWrap/>
            <w:vAlign w:val="bottom"/>
            <w:hideMark/>
          </w:tcPr>
          <w:p w14:paraId="58281353"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50.93%</w:t>
            </w:r>
          </w:p>
        </w:tc>
        <w:tc>
          <w:tcPr>
            <w:tcW w:w="941" w:type="dxa"/>
            <w:vAlign w:val="bottom"/>
          </w:tcPr>
          <w:p w14:paraId="147A3185" w14:textId="77777777" w:rsidR="0011727C" w:rsidRPr="003E0411" w:rsidRDefault="0011727C" w:rsidP="00F34B90">
            <w:pPr>
              <w:spacing w:before="120" w:line="240" w:lineRule="auto"/>
              <w:jc w:val="right"/>
              <w:rPr>
                <w:rFonts w:eastAsia="Times New Roman" w:cs="Arial"/>
                <w:sz w:val="20"/>
                <w:szCs w:val="20"/>
                <w:lang w:eastAsia="en-AU"/>
              </w:rPr>
            </w:pPr>
            <w:r>
              <w:rPr>
                <w:rFonts w:eastAsia="Times New Roman" w:cs="Arial"/>
                <w:sz w:val="20"/>
                <w:szCs w:val="20"/>
                <w:lang w:eastAsia="en-AU"/>
              </w:rPr>
              <w:t>54.01%</w:t>
            </w:r>
          </w:p>
        </w:tc>
      </w:tr>
      <w:tr w:rsidR="0011727C" w:rsidRPr="003E0411" w14:paraId="0EEEAF11" w14:textId="77777777" w:rsidTr="00F34B90">
        <w:trPr>
          <w:trHeight w:val="255"/>
        </w:trPr>
        <w:tc>
          <w:tcPr>
            <w:tcW w:w="2449" w:type="dxa"/>
            <w:shd w:val="clear" w:color="auto" w:fill="auto"/>
            <w:noWrap/>
            <w:vAlign w:val="bottom"/>
            <w:hideMark/>
          </w:tcPr>
          <w:p w14:paraId="275F6F8A" w14:textId="77777777" w:rsidR="0011727C" w:rsidRPr="003E0411" w:rsidRDefault="0011727C" w:rsidP="00F34B90">
            <w:pPr>
              <w:spacing w:before="120" w:line="240" w:lineRule="auto"/>
              <w:rPr>
                <w:rFonts w:eastAsia="Times New Roman" w:cs="Arial"/>
                <w:sz w:val="20"/>
                <w:szCs w:val="20"/>
                <w:lang w:eastAsia="en-AU"/>
              </w:rPr>
            </w:pPr>
            <w:r w:rsidRPr="003E0411">
              <w:rPr>
                <w:rFonts w:eastAsia="Times New Roman" w:cs="Arial"/>
                <w:sz w:val="20"/>
                <w:szCs w:val="20"/>
                <w:lang w:eastAsia="en-AU"/>
              </w:rPr>
              <w:lastRenderedPageBreak/>
              <w:t>Amended</w:t>
            </w:r>
          </w:p>
        </w:tc>
        <w:tc>
          <w:tcPr>
            <w:tcW w:w="941" w:type="dxa"/>
            <w:tcBorders>
              <w:bottom w:val="single" w:sz="8" w:space="0" w:color="auto"/>
            </w:tcBorders>
            <w:shd w:val="clear" w:color="auto" w:fill="auto"/>
            <w:noWrap/>
            <w:vAlign w:val="bottom"/>
            <w:hideMark/>
          </w:tcPr>
          <w:p w14:paraId="1346D1FC"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0.00%</w:t>
            </w:r>
          </w:p>
        </w:tc>
        <w:tc>
          <w:tcPr>
            <w:tcW w:w="941" w:type="dxa"/>
            <w:tcBorders>
              <w:bottom w:val="single" w:sz="8" w:space="0" w:color="auto"/>
            </w:tcBorders>
            <w:shd w:val="clear" w:color="auto" w:fill="auto"/>
            <w:noWrap/>
            <w:vAlign w:val="bottom"/>
            <w:hideMark/>
          </w:tcPr>
          <w:p w14:paraId="1EF263A6"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2.33%</w:t>
            </w:r>
          </w:p>
        </w:tc>
        <w:tc>
          <w:tcPr>
            <w:tcW w:w="941" w:type="dxa"/>
            <w:tcBorders>
              <w:bottom w:val="single" w:sz="8" w:space="0" w:color="auto"/>
            </w:tcBorders>
            <w:shd w:val="clear" w:color="auto" w:fill="auto"/>
            <w:noWrap/>
            <w:vAlign w:val="bottom"/>
            <w:hideMark/>
          </w:tcPr>
          <w:p w14:paraId="53E5AC7F"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0.00%</w:t>
            </w:r>
          </w:p>
        </w:tc>
        <w:tc>
          <w:tcPr>
            <w:tcW w:w="941" w:type="dxa"/>
            <w:tcBorders>
              <w:bottom w:val="single" w:sz="8" w:space="0" w:color="auto"/>
            </w:tcBorders>
            <w:shd w:val="clear" w:color="auto" w:fill="auto"/>
            <w:noWrap/>
            <w:vAlign w:val="bottom"/>
            <w:hideMark/>
          </w:tcPr>
          <w:p w14:paraId="2D177222"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0.00%</w:t>
            </w:r>
          </w:p>
        </w:tc>
        <w:tc>
          <w:tcPr>
            <w:tcW w:w="941" w:type="dxa"/>
            <w:tcBorders>
              <w:bottom w:val="single" w:sz="8" w:space="0" w:color="auto"/>
            </w:tcBorders>
            <w:shd w:val="clear" w:color="auto" w:fill="auto"/>
            <w:noWrap/>
            <w:vAlign w:val="bottom"/>
            <w:hideMark/>
          </w:tcPr>
          <w:p w14:paraId="77824EB3"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2.74%</w:t>
            </w:r>
          </w:p>
        </w:tc>
        <w:tc>
          <w:tcPr>
            <w:tcW w:w="941" w:type="dxa"/>
            <w:tcBorders>
              <w:bottom w:val="single" w:sz="8" w:space="0" w:color="auto"/>
            </w:tcBorders>
            <w:shd w:val="clear" w:color="auto" w:fill="auto"/>
            <w:noWrap/>
            <w:vAlign w:val="bottom"/>
            <w:hideMark/>
          </w:tcPr>
          <w:p w14:paraId="5D122CC0"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0.82%</w:t>
            </w:r>
          </w:p>
        </w:tc>
        <w:tc>
          <w:tcPr>
            <w:tcW w:w="941" w:type="dxa"/>
            <w:tcBorders>
              <w:bottom w:val="single" w:sz="8" w:space="0" w:color="auto"/>
            </w:tcBorders>
            <w:shd w:val="clear" w:color="auto" w:fill="auto"/>
            <w:noWrap/>
            <w:vAlign w:val="bottom"/>
            <w:hideMark/>
          </w:tcPr>
          <w:p w14:paraId="1D4BA82E"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0.00%</w:t>
            </w:r>
          </w:p>
        </w:tc>
        <w:tc>
          <w:tcPr>
            <w:tcW w:w="941" w:type="dxa"/>
            <w:tcBorders>
              <w:bottom w:val="single" w:sz="8" w:space="0" w:color="auto"/>
            </w:tcBorders>
            <w:vAlign w:val="bottom"/>
          </w:tcPr>
          <w:p w14:paraId="7A7FABCC"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0.00%</w:t>
            </w:r>
          </w:p>
        </w:tc>
      </w:tr>
      <w:tr w:rsidR="0011727C" w:rsidRPr="003E0411" w14:paraId="12305305" w14:textId="77777777" w:rsidTr="00F34B90">
        <w:trPr>
          <w:trHeight w:val="255"/>
        </w:trPr>
        <w:tc>
          <w:tcPr>
            <w:tcW w:w="2449" w:type="dxa"/>
            <w:shd w:val="clear" w:color="auto" w:fill="auto"/>
            <w:noWrap/>
            <w:vAlign w:val="bottom"/>
            <w:hideMark/>
          </w:tcPr>
          <w:p w14:paraId="75BEDFB0" w14:textId="77777777" w:rsidR="0011727C" w:rsidRPr="003E0411" w:rsidRDefault="0011727C" w:rsidP="00F34B90">
            <w:pPr>
              <w:spacing w:before="120" w:line="240" w:lineRule="auto"/>
              <w:rPr>
                <w:rFonts w:eastAsia="Times New Roman" w:cs="Arial"/>
                <w:sz w:val="20"/>
                <w:szCs w:val="20"/>
                <w:lang w:eastAsia="en-AU"/>
              </w:rPr>
            </w:pPr>
            <w:r w:rsidRPr="003E0411">
              <w:rPr>
                <w:rFonts w:eastAsia="Times New Roman" w:cs="Arial"/>
                <w:sz w:val="20"/>
                <w:szCs w:val="20"/>
                <w:lang w:eastAsia="en-AU"/>
              </w:rPr>
              <w:t>Hearing</w:t>
            </w:r>
          </w:p>
        </w:tc>
        <w:tc>
          <w:tcPr>
            <w:tcW w:w="941" w:type="dxa"/>
            <w:tcBorders>
              <w:bottom w:val="single" w:sz="8" w:space="0" w:color="auto"/>
            </w:tcBorders>
            <w:shd w:val="clear" w:color="auto" w:fill="auto"/>
            <w:noWrap/>
            <w:vAlign w:val="bottom"/>
            <w:hideMark/>
          </w:tcPr>
          <w:p w14:paraId="36984BD7"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21.05%</w:t>
            </w:r>
          </w:p>
        </w:tc>
        <w:tc>
          <w:tcPr>
            <w:tcW w:w="941" w:type="dxa"/>
            <w:tcBorders>
              <w:bottom w:val="single" w:sz="8" w:space="0" w:color="auto"/>
            </w:tcBorders>
            <w:shd w:val="clear" w:color="auto" w:fill="auto"/>
            <w:noWrap/>
            <w:vAlign w:val="bottom"/>
            <w:hideMark/>
          </w:tcPr>
          <w:p w14:paraId="0BA235F9"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20.47%</w:t>
            </w:r>
          </w:p>
        </w:tc>
        <w:tc>
          <w:tcPr>
            <w:tcW w:w="941" w:type="dxa"/>
            <w:tcBorders>
              <w:bottom w:val="single" w:sz="8" w:space="0" w:color="auto"/>
            </w:tcBorders>
            <w:shd w:val="clear" w:color="auto" w:fill="auto"/>
            <w:noWrap/>
            <w:vAlign w:val="bottom"/>
            <w:hideMark/>
          </w:tcPr>
          <w:p w14:paraId="68FD5424"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19.31%</w:t>
            </w:r>
          </w:p>
        </w:tc>
        <w:tc>
          <w:tcPr>
            <w:tcW w:w="941" w:type="dxa"/>
            <w:tcBorders>
              <w:bottom w:val="single" w:sz="8" w:space="0" w:color="auto"/>
            </w:tcBorders>
            <w:shd w:val="clear" w:color="auto" w:fill="auto"/>
            <w:noWrap/>
            <w:vAlign w:val="bottom"/>
            <w:hideMark/>
          </w:tcPr>
          <w:p w14:paraId="5991DC3E"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10.83%</w:t>
            </w:r>
          </w:p>
        </w:tc>
        <w:tc>
          <w:tcPr>
            <w:tcW w:w="941" w:type="dxa"/>
            <w:tcBorders>
              <w:bottom w:val="single" w:sz="8" w:space="0" w:color="auto"/>
            </w:tcBorders>
            <w:shd w:val="clear" w:color="auto" w:fill="auto"/>
            <w:noWrap/>
            <w:vAlign w:val="bottom"/>
            <w:hideMark/>
          </w:tcPr>
          <w:p w14:paraId="4BBB1755"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15.75%</w:t>
            </w:r>
          </w:p>
        </w:tc>
        <w:tc>
          <w:tcPr>
            <w:tcW w:w="941" w:type="dxa"/>
            <w:tcBorders>
              <w:bottom w:val="single" w:sz="8" w:space="0" w:color="auto"/>
            </w:tcBorders>
            <w:shd w:val="clear" w:color="auto" w:fill="auto"/>
            <w:noWrap/>
            <w:vAlign w:val="bottom"/>
            <w:hideMark/>
          </w:tcPr>
          <w:p w14:paraId="637AE56E"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12.30%</w:t>
            </w:r>
          </w:p>
        </w:tc>
        <w:tc>
          <w:tcPr>
            <w:tcW w:w="941" w:type="dxa"/>
            <w:tcBorders>
              <w:bottom w:val="single" w:sz="8" w:space="0" w:color="auto"/>
            </w:tcBorders>
            <w:shd w:val="clear" w:color="auto" w:fill="auto"/>
            <w:noWrap/>
            <w:vAlign w:val="bottom"/>
            <w:hideMark/>
          </w:tcPr>
          <w:p w14:paraId="7CC086B9" w14:textId="77777777" w:rsidR="0011727C" w:rsidRPr="003E0411" w:rsidRDefault="0011727C" w:rsidP="00F34B90">
            <w:pPr>
              <w:spacing w:before="120" w:line="240" w:lineRule="auto"/>
              <w:jc w:val="right"/>
              <w:rPr>
                <w:rFonts w:eastAsia="Times New Roman" w:cs="Arial"/>
                <w:sz w:val="20"/>
                <w:szCs w:val="20"/>
                <w:lang w:eastAsia="en-AU"/>
              </w:rPr>
            </w:pPr>
            <w:r w:rsidRPr="003E0411">
              <w:rPr>
                <w:rFonts w:eastAsia="Times New Roman" w:cs="Arial"/>
                <w:sz w:val="20"/>
                <w:szCs w:val="20"/>
                <w:lang w:eastAsia="en-AU"/>
              </w:rPr>
              <w:t>12.96%</w:t>
            </w:r>
          </w:p>
        </w:tc>
        <w:tc>
          <w:tcPr>
            <w:tcW w:w="941" w:type="dxa"/>
            <w:tcBorders>
              <w:bottom w:val="single" w:sz="8" w:space="0" w:color="auto"/>
            </w:tcBorders>
            <w:vAlign w:val="bottom"/>
          </w:tcPr>
          <w:p w14:paraId="00FD5847" w14:textId="77777777" w:rsidR="0011727C" w:rsidRPr="003E0411" w:rsidRDefault="0011727C" w:rsidP="00F34B90">
            <w:pPr>
              <w:spacing w:before="120" w:line="240" w:lineRule="auto"/>
              <w:jc w:val="right"/>
              <w:rPr>
                <w:rFonts w:eastAsia="Times New Roman" w:cs="Arial"/>
                <w:sz w:val="20"/>
                <w:szCs w:val="20"/>
                <w:lang w:eastAsia="en-AU"/>
              </w:rPr>
            </w:pPr>
            <w:r>
              <w:rPr>
                <w:rFonts w:eastAsia="Times New Roman" w:cs="Arial"/>
                <w:sz w:val="20"/>
                <w:szCs w:val="20"/>
                <w:lang w:eastAsia="en-AU"/>
              </w:rPr>
              <w:t>19.71%</w:t>
            </w:r>
          </w:p>
        </w:tc>
      </w:tr>
    </w:tbl>
    <w:p w14:paraId="62ED9545" w14:textId="77777777" w:rsidR="0011727C" w:rsidRDefault="0011727C" w:rsidP="00C37155">
      <w:pPr>
        <w:ind w:left="567"/>
        <w:rPr>
          <w:sz w:val="24"/>
        </w:rPr>
      </w:pPr>
    </w:p>
    <w:tbl>
      <w:tblPr>
        <w:tblW w:w="9977"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449"/>
        <w:gridCol w:w="941"/>
        <w:gridCol w:w="941"/>
        <w:gridCol w:w="941"/>
        <w:gridCol w:w="941"/>
        <w:gridCol w:w="941"/>
        <w:gridCol w:w="941"/>
        <w:gridCol w:w="941"/>
        <w:gridCol w:w="941"/>
      </w:tblGrid>
      <w:tr w:rsidR="0011727C" w:rsidRPr="00A1521B" w14:paraId="3D1E0723" w14:textId="77777777" w:rsidTr="00F34B90">
        <w:trPr>
          <w:trHeight w:val="255"/>
        </w:trPr>
        <w:tc>
          <w:tcPr>
            <w:tcW w:w="2449" w:type="dxa"/>
            <w:shd w:val="clear" w:color="auto" w:fill="7F7F7F"/>
            <w:noWrap/>
            <w:vAlign w:val="bottom"/>
            <w:hideMark/>
          </w:tcPr>
          <w:p w14:paraId="4F847515" w14:textId="77777777" w:rsidR="0011727C" w:rsidRPr="00F77CC1" w:rsidRDefault="0011727C" w:rsidP="00F34B90">
            <w:pPr>
              <w:spacing w:before="120" w:line="240" w:lineRule="auto"/>
              <w:rPr>
                <w:rFonts w:cs="Arial"/>
                <w:b/>
                <w:bCs/>
                <w:sz w:val="20"/>
                <w:szCs w:val="20"/>
              </w:rPr>
            </w:pPr>
            <w:r>
              <w:rPr>
                <w:rFonts w:cs="Arial"/>
                <w:b/>
                <w:bCs/>
                <w:sz w:val="20"/>
                <w:szCs w:val="20"/>
              </w:rPr>
              <w:t>% Consent / Hearings to substantive decisions</w:t>
            </w:r>
          </w:p>
        </w:tc>
        <w:tc>
          <w:tcPr>
            <w:tcW w:w="941" w:type="dxa"/>
            <w:shd w:val="clear" w:color="auto" w:fill="7F7F7F"/>
            <w:noWrap/>
            <w:vAlign w:val="bottom"/>
            <w:hideMark/>
          </w:tcPr>
          <w:p w14:paraId="278C9646" w14:textId="77777777" w:rsidR="0011727C" w:rsidRPr="003E0411" w:rsidRDefault="0011727C" w:rsidP="00F34B90">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2009-10</w:t>
            </w:r>
          </w:p>
        </w:tc>
        <w:tc>
          <w:tcPr>
            <w:tcW w:w="941" w:type="dxa"/>
            <w:shd w:val="clear" w:color="auto" w:fill="7F7F7F"/>
            <w:noWrap/>
            <w:vAlign w:val="bottom"/>
            <w:hideMark/>
          </w:tcPr>
          <w:p w14:paraId="576DC7A1" w14:textId="77777777" w:rsidR="0011727C" w:rsidRPr="003E0411" w:rsidRDefault="0011727C" w:rsidP="00F34B90">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2010-11</w:t>
            </w:r>
          </w:p>
        </w:tc>
        <w:tc>
          <w:tcPr>
            <w:tcW w:w="941" w:type="dxa"/>
            <w:shd w:val="clear" w:color="auto" w:fill="7F7F7F"/>
            <w:noWrap/>
            <w:vAlign w:val="bottom"/>
            <w:hideMark/>
          </w:tcPr>
          <w:p w14:paraId="29906147" w14:textId="77777777" w:rsidR="0011727C" w:rsidRPr="003E0411" w:rsidRDefault="0011727C" w:rsidP="00F34B90">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2011-12</w:t>
            </w:r>
          </w:p>
        </w:tc>
        <w:tc>
          <w:tcPr>
            <w:tcW w:w="941" w:type="dxa"/>
            <w:shd w:val="clear" w:color="auto" w:fill="7F7F7F"/>
            <w:noWrap/>
            <w:vAlign w:val="bottom"/>
            <w:hideMark/>
          </w:tcPr>
          <w:p w14:paraId="22F0A8F3" w14:textId="77777777" w:rsidR="0011727C" w:rsidRPr="003E0411" w:rsidRDefault="0011727C" w:rsidP="00F34B90">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2012-13</w:t>
            </w:r>
          </w:p>
        </w:tc>
        <w:tc>
          <w:tcPr>
            <w:tcW w:w="941" w:type="dxa"/>
            <w:shd w:val="clear" w:color="auto" w:fill="7F7F7F"/>
            <w:noWrap/>
            <w:vAlign w:val="bottom"/>
            <w:hideMark/>
          </w:tcPr>
          <w:p w14:paraId="058E490C" w14:textId="77777777" w:rsidR="0011727C" w:rsidRPr="003E0411" w:rsidRDefault="0011727C" w:rsidP="00F34B90">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2013-14</w:t>
            </w:r>
          </w:p>
        </w:tc>
        <w:tc>
          <w:tcPr>
            <w:tcW w:w="941" w:type="dxa"/>
            <w:shd w:val="clear" w:color="auto" w:fill="7F7F7F"/>
            <w:noWrap/>
            <w:vAlign w:val="bottom"/>
            <w:hideMark/>
          </w:tcPr>
          <w:p w14:paraId="3E9511E0" w14:textId="77777777" w:rsidR="0011727C" w:rsidRPr="003E0411" w:rsidRDefault="0011727C" w:rsidP="00F34B90">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2014-15</w:t>
            </w:r>
          </w:p>
        </w:tc>
        <w:tc>
          <w:tcPr>
            <w:tcW w:w="941" w:type="dxa"/>
            <w:shd w:val="clear" w:color="auto" w:fill="7F7F7F"/>
            <w:noWrap/>
            <w:vAlign w:val="bottom"/>
            <w:hideMark/>
          </w:tcPr>
          <w:p w14:paraId="77DB80E9" w14:textId="77777777" w:rsidR="0011727C" w:rsidRPr="003E0411" w:rsidRDefault="0011727C" w:rsidP="00F34B90">
            <w:pPr>
              <w:spacing w:before="120" w:line="240" w:lineRule="auto"/>
              <w:jc w:val="center"/>
              <w:rPr>
                <w:rFonts w:eastAsia="Times New Roman" w:cs="Arial"/>
                <w:b/>
                <w:bCs/>
                <w:sz w:val="20"/>
                <w:szCs w:val="20"/>
                <w:lang w:eastAsia="en-AU"/>
              </w:rPr>
            </w:pPr>
            <w:r w:rsidRPr="003E0411">
              <w:rPr>
                <w:rFonts w:eastAsia="Times New Roman" w:cs="Arial"/>
                <w:b/>
                <w:bCs/>
                <w:sz w:val="20"/>
                <w:szCs w:val="20"/>
                <w:lang w:eastAsia="en-AU"/>
              </w:rPr>
              <w:t>2015-16</w:t>
            </w:r>
          </w:p>
        </w:tc>
        <w:tc>
          <w:tcPr>
            <w:tcW w:w="941" w:type="dxa"/>
            <w:shd w:val="clear" w:color="auto" w:fill="7F7F7F"/>
            <w:vAlign w:val="bottom"/>
          </w:tcPr>
          <w:p w14:paraId="3AED4FE0" w14:textId="77777777" w:rsidR="0011727C" w:rsidRPr="003E0411" w:rsidRDefault="0011727C" w:rsidP="00F34B90">
            <w:pPr>
              <w:spacing w:before="120" w:line="240" w:lineRule="auto"/>
              <w:jc w:val="center"/>
              <w:rPr>
                <w:rFonts w:eastAsia="Times New Roman" w:cs="Arial"/>
                <w:b/>
                <w:bCs/>
                <w:sz w:val="20"/>
                <w:szCs w:val="20"/>
                <w:lang w:eastAsia="en-AU"/>
              </w:rPr>
            </w:pPr>
            <w:r>
              <w:rPr>
                <w:rFonts w:eastAsia="Times New Roman" w:cs="Arial"/>
                <w:b/>
                <w:bCs/>
                <w:sz w:val="20"/>
                <w:szCs w:val="20"/>
                <w:lang w:eastAsia="en-AU"/>
              </w:rPr>
              <w:t>2016-17</w:t>
            </w:r>
          </w:p>
        </w:tc>
      </w:tr>
      <w:tr w:rsidR="0011727C" w:rsidRPr="00DF329C" w14:paraId="5F66420F" w14:textId="77777777" w:rsidTr="00F34B90">
        <w:trPr>
          <w:trHeight w:val="255"/>
        </w:trPr>
        <w:tc>
          <w:tcPr>
            <w:tcW w:w="2449" w:type="dxa"/>
            <w:shd w:val="clear" w:color="auto" w:fill="auto"/>
            <w:noWrap/>
            <w:vAlign w:val="bottom"/>
            <w:hideMark/>
          </w:tcPr>
          <w:p w14:paraId="44049D7C" w14:textId="77777777" w:rsidR="0011727C" w:rsidRPr="00F77CC1" w:rsidRDefault="0011727C" w:rsidP="00F34B90">
            <w:pPr>
              <w:spacing w:before="120" w:line="240" w:lineRule="auto"/>
              <w:rPr>
                <w:rFonts w:cs="Arial"/>
                <w:sz w:val="20"/>
                <w:szCs w:val="20"/>
              </w:rPr>
            </w:pPr>
            <w:r w:rsidRPr="00F77CC1">
              <w:rPr>
                <w:rFonts w:cs="Arial"/>
                <w:sz w:val="20"/>
                <w:szCs w:val="20"/>
              </w:rPr>
              <w:t>Consent</w:t>
            </w:r>
          </w:p>
        </w:tc>
        <w:tc>
          <w:tcPr>
            <w:tcW w:w="941" w:type="dxa"/>
            <w:tcBorders>
              <w:top w:val="nil"/>
            </w:tcBorders>
            <w:shd w:val="clear" w:color="auto" w:fill="auto"/>
            <w:noWrap/>
            <w:vAlign w:val="bottom"/>
            <w:hideMark/>
          </w:tcPr>
          <w:p w14:paraId="001A7ABD" w14:textId="77777777" w:rsidR="0011727C" w:rsidRPr="00F77CC1" w:rsidRDefault="0011727C" w:rsidP="00F34B90">
            <w:pPr>
              <w:spacing w:before="120" w:line="240" w:lineRule="auto"/>
              <w:jc w:val="right"/>
              <w:rPr>
                <w:rFonts w:cs="Arial"/>
                <w:sz w:val="20"/>
                <w:szCs w:val="20"/>
              </w:rPr>
            </w:pPr>
            <w:r w:rsidRPr="00F77CC1">
              <w:rPr>
                <w:rFonts w:cs="Arial"/>
                <w:sz w:val="20"/>
                <w:szCs w:val="20"/>
              </w:rPr>
              <w:t>70.29%</w:t>
            </w:r>
          </w:p>
        </w:tc>
        <w:tc>
          <w:tcPr>
            <w:tcW w:w="941" w:type="dxa"/>
            <w:tcBorders>
              <w:top w:val="nil"/>
            </w:tcBorders>
            <w:shd w:val="clear" w:color="auto" w:fill="auto"/>
            <w:noWrap/>
            <w:vAlign w:val="bottom"/>
            <w:hideMark/>
          </w:tcPr>
          <w:p w14:paraId="12E34C3A" w14:textId="77777777" w:rsidR="0011727C" w:rsidRPr="00F77CC1" w:rsidRDefault="0011727C" w:rsidP="00F34B90">
            <w:pPr>
              <w:spacing w:before="120" w:line="240" w:lineRule="auto"/>
              <w:jc w:val="right"/>
              <w:rPr>
                <w:rFonts w:cs="Arial"/>
                <w:sz w:val="20"/>
                <w:szCs w:val="20"/>
              </w:rPr>
            </w:pPr>
            <w:r w:rsidRPr="00F77CC1">
              <w:rPr>
                <w:rFonts w:cs="Arial"/>
                <w:sz w:val="20"/>
                <w:szCs w:val="20"/>
              </w:rPr>
              <w:t>72.15%</w:t>
            </w:r>
          </w:p>
        </w:tc>
        <w:tc>
          <w:tcPr>
            <w:tcW w:w="941" w:type="dxa"/>
            <w:tcBorders>
              <w:top w:val="nil"/>
            </w:tcBorders>
            <w:shd w:val="clear" w:color="auto" w:fill="auto"/>
            <w:noWrap/>
            <w:vAlign w:val="bottom"/>
            <w:hideMark/>
          </w:tcPr>
          <w:p w14:paraId="34EFFCF4" w14:textId="77777777" w:rsidR="0011727C" w:rsidRPr="00F77CC1" w:rsidRDefault="0011727C" w:rsidP="00F34B90">
            <w:pPr>
              <w:spacing w:before="120" w:line="240" w:lineRule="auto"/>
              <w:jc w:val="right"/>
              <w:rPr>
                <w:rFonts w:cs="Arial"/>
                <w:sz w:val="20"/>
                <w:szCs w:val="20"/>
              </w:rPr>
            </w:pPr>
            <w:r w:rsidRPr="00F77CC1">
              <w:rPr>
                <w:rFonts w:cs="Arial"/>
                <w:sz w:val="20"/>
                <w:szCs w:val="20"/>
              </w:rPr>
              <w:t>76.36%</w:t>
            </w:r>
          </w:p>
        </w:tc>
        <w:tc>
          <w:tcPr>
            <w:tcW w:w="941" w:type="dxa"/>
            <w:tcBorders>
              <w:top w:val="nil"/>
            </w:tcBorders>
            <w:shd w:val="clear" w:color="auto" w:fill="auto"/>
            <w:noWrap/>
            <w:vAlign w:val="bottom"/>
            <w:hideMark/>
          </w:tcPr>
          <w:p w14:paraId="75C7E11A" w14:textId="77777777" w:rsidR="0011727C" w:rsidRPr="00F77CC1" w:rsidRDefault="0011727C" w:rsidP="00F34B90">
            <w:pPr>
              <w:spacing w:before="120" w:line="240" w:lineRule="auto"/>
              <w:jc w:val="right"/>
              <w:rPr>
                <w:rFonts w:cs="Arial"/>
                <w:sz w:val="20"/>
                <w:szCs w:val="20"/>
              </w:rPr>
            </w:pPr>
            <w:r w:rsidRPr="00F77CC1">
              <w:rPr>
                <w:rFonts w:cs="Arial"/>
                <w:sz w:val="20"/>
                <w:szCs w:val="20"/>
              </w:rPr>
              <w:t>82.47%</w:t>
            </w:r>
          </w:p>
        </w:tc>
        <w:tc>
          <w:tcPr>
            <w:tcW w:w="941" w:type="dxa"/>
            <w:tcBorders>
              <w:top w:val="nil"/>
            </w:tcBorders>
            <w:shd w:val="clear" w:color="auto" w:fill="auto"/>
            <w:noWrap/>
            <w:vAlign w:val="bottom"/>
            <w:hideMark/>
          </w:tcPr>
          <w:p w14:paraId="1013AB45" w14:textId="77777777" w:rsidR="0011727C" w:rsidRPr="00F77CC1" w:rsidRDefault="0011727C" w:rsidP="00F34B90">
            <w:pPr>
              <w:spacing w:before="120" w:line="240" w:lineRule="auto"/>
              <w:jc w:val="right"/>
              <w:rPr>
                <w:rFonts w:cs="Arial"/>
                <w:sz w:val="20"/>
                <w:szCs w:val="20"/>
              </w:rPr>
            </w:pPr>
            <w:r w:rsidRPr="00F77CC1">
              <w:rPr>
                <w:rFonts w:cs="Arial"/>
                <w:sz w:val="20"/>
                <w:szCs w:val="20"/>
              </w:rPr>
              <w:t>72.94%</w:t>
            </w:r>
          </w:p>
        </w:tc>
        <w:tc>
          <w:tcPr>
            <w:tcW w:w="941" w:type="dxa"/>
            <w:tcBorders>
              <w:top w:val="nil"/>
            </w:tcBorders>
            <w:shd w:val="clear" w:color="auto" w:fill="auto"/>
            <w:noWrap/>
            <w:vAlign w:val="bottom"/>
            <w:hideMark/>
          </w:tcPr>
          <w:p w14:paraId="5D9E1D41" w14:textId="77777777" w:rsidR="0011727C" w:rsidRPr="00F77CC1" w:rsidRDefault="0011727C" w:rsidP="00F34B90">
            <w:pPr>
              <w:spacing w:before="120" w:line="240" w:lineRule="auto"/>
              <w:jc w:val="right"/>
              <w:rPr>
                <w:rFonts w:cs="Arial"/>
                <w:sz w:val="20"/>
                <w:szCs w:val="20"/>
              </w:rPr>
            </w:pPr>
            <w:r w:rsidRPr="00F77CC1">
              <w:rPr>
                <w:rFonts w:cs="Arial"/>
                <w:sz w:val="20"/>
                <w:szCs w:val="20"/>
              </w:rPr>
              <w:t>79.17%</w:t>
            </w:r>
          </w:p>
        </w:tc>
        <w:tc>
          <w:tcPr>
            <w:tcW w:w="941" w:type="dxa"/>
            <w:tcBorders>
              <w:top w:val="nil"/>
            </w:tcBorders>
            <w:shd w:val="clear" w:color="auto" w:fill="auto"/>
            <w:noWrap/>
            <w:vAlign w:val="bottom"/>
            <w:hideMark/>
          </w:tcPr>
          <w:p w14:paraId="15D52061" w14:textId="77777777" w:rsidR="0011727C" w:rsidRPr="00F77CC1" w:rsidRDefault="0011727C" w:rsidP="00F34B90">
            <w:pPr>
              <w:spacing w:before="120" w:line="240" w:lineRule="auto"/>
              <w:jc w:val="right"/>
              <w:rPr>
                <w:rFonts w:cs="Arial"/>
                <w:sz w:val="20"/>
                <w:szCs w:val="20"/>
              </w:rPr>
            </w:pPr>
            <w:r>
              <w:rPr>
                <w:rFonts w:cs="Arial"/>
                <w:sz w:val="20"/>
                <w:szCs w:val="20"/>
              </w:rPr>
              <w:t>79.71%</w:t>
            </w:r>
          </w:p>
        </w:tc>
        <w:tc>
          <w:tcPr>
            <w:tcW w:w="941" w:type="dxa"/>
            <w:tcBorders>
              <w:top w:val="nil"/>
            </w:tcBorders>
            <w:vAlign w:val="bottom"/>
          </w:tcPr>
          <w:p w14:paraId="2C47F3F1" w14:textId="77777777" w:rsidR="0011727C" w:rsidRPr="00F77CC1" w:rsidRDefault="0011727C" w:rsidP="00F34B90">
            <w:pPr>
              <w:spacing w:before="120" w:line="240" w:lineRule="auto"/>
              <w:jc w:val="right"/>
              <w:rPr>
                <w:rFonts w:cs="Arial"/>
                <w:sz w:val="20"/>
                <w:szCs w:val="20"/>
              </w:rPr>
            </w:pPr>
            <w:r>
              <w:rPr>
                <w:rFonts w:cs="Arial"/>
                <w:sz w:val="20"/>
                <w:szCs w:val="20"/>
              </w:rPr>
              <w:t>73.27%</w:t>
            </w:r>
          </w:p>
        </w:tc>
      </w:tr>
      <w:tr w:rsidR="0011727C" w:rsidRPr="00DF329C" w14:paraId="291F3100" w14:textId="77777777" w:rsidTr="00F34B90">
        <w:trPr>
          <w:trHeight w:val="255"/>
        </w:trPr>
        <w:tc>
          <w:tcPr>
            <w:tcW w:w="2449" w:type="dxa"/>
            <w:shd w:val="clear" w:color="auto" w:fill="auto"/>
            <w:noWrap/>
            <w:vAlign w:val="bottom"/>
            <w:hideMark/>
          </w:tcPr>
          <w:p w14:paraId="71012DA9" w14:textId="77777777" w:rsidR="0011727C" w:rsidRPr="00F77CC1" w:rsidRDefault="0011727C" w:rsidP="00F34B90">
            <w:pPr>
              <w:spacing w:before="120" w:line="240" w:lineRule="auto"/>
              <w:rPr>
                <w:rFonts w:cs="Arial"/>
                <w:sz w:val="20"/>
                <w:szCs w:val="20"/>
              </w:rPr>
            </w:pPr>
            <w:r w:rsidRPr="00F77CC1">
              <w:rPr>
                <w:rFonts w:cs="Arial"/>
                <w:sz w:val="20"/>
                <w:szCs w:val="20"/>
              </w:rPr>
              <w:t>Hearings</w:t>
            </w:r>
          </w:p>
        </w:tc>
        <w:tc>
          <w:tcPr>
            <w:tcW w:w="941" w:type="dxa"/>
            <w:shd w:val="clear" w:color="auto" w:fill="auto"/>
            <w:noWrap/>
            <w:vAlign w:val="bottom"/>
            <w:hideMark/>
          </w:tcPr>
          <w:p w14:paraId="5541A208" w14:textId="77777777" w:rsidR="0011727C" w:rsidRPr="00F77CC1" w:rsidRDefault="0011727C" w:rsidP="00F34B90">
            <w:pPr>
              <w:spacing w:before="120" w:line="240" w:lineRule="auto"/>
              <w:jc w:val="right"/>
              <w:rPr>
                <w:rFonts w:cs="Arial"/>
                <w:sz w:val="20"/>
                <w:szCs w:val="20"/>
              </w:rPr>
            </w:pPr>
            <w:r w:rsidRPr="00F77CC1">
              <w:rPr>
                <w:rFonts w:cs="Arial"/>
                <w:sz w:val="20"/>
                <w:szCs w:val="20"/>
              </w:rPr>
              <w:t>29.71%</w:t>
            </w:r>
          </w:p>
        </w:tc>
        <w:tc>
          <w:tcPr>
            <w:tcW w:w="941" w:type="dxa"/>
            <w:shd w:val="clear" w:color="auto" w:fill="auto"/>
            <w:noWrap/>
            <w:vAlign w:val="bottom"/>
            <w:hideMark/>
          </w:tcPr>
          <w:p w14:paraId="51F1EDA3" w14:textId="77777777" w:rsidR="0011727C" w:rsidRPr="00F77CC1" w:rsidRDefault="0011727C" w:rsidP="00F34B90">
            <w:pPr>
              <w:spacing w:before="120" w:line="240" w:lineRule="auto"/>
              <w:jc w:val="right"/>
              <w:rPr>
                <w:rFonts w:cs="Arial"/>
                <w:sz w:val="20"/>
                <w:szCs w:val="20"/>
              </w:rPr>
            </w:pPr>
            <w:r w:rsidRPr="00F77CC1">
              <w:rPr>
                <w:rFonts w:cs="Arial"/>
                <w:sz w:val="20"/>
                <w:szCs w:val="20"/>
              </w:rPr>
              <w:t>27.85%</w:t>
            </w:r>
          </w:p>
        </w:tc>
        <w:tc>
          <w:tcPr>
            <w:tcW w:w="941" w:type="dxa"/>
            <w:shd w:val="clear" w:color="auto" w:fill="auto"/>
            <w:noWrap/>
            <w:vAlign w:val="bottom"/>
            <w:hideMark/>
          </w:tcPr>
          <w:p w14:paraId="49367329" w14:textId="77777777" w:rsidR="0011727C" w:rsidRPr="00F77CC1" w:rsidRDefault="0011727C" w:rsidP="00F34B90">
            <w:pPr>
              <w:spacing w:before="120" w:line="240" w:lineRule="auto"/>
              <w:jc w:val="right"/>
              <w:rPr>
                <w:rFonts w:cs="Arial"/>
                <w:sz w:val="20"/>
                <w:szCs w:val="20"/>
              </w:rPr>
            </w:pPr>
            <w:r w:rsidRPr="00F77CC1">
              <w:rPr>
                <w:rFonts w:cs="Arial"/>
                <w:sz w:val="20"/>
                <w:szCs w:val="20"/>
              </w:rPr>
              <w:t>23.64%</w:t>
            </w:r>
          </w:p>
        </w:tc>
        <w:tc>
          <w:tcPr>
            <w:tcW w:w="941" w:type="dxa"/>
            <w:shd w:val="clear" w:color="auto" w:fill="auto"/>
            <w:noWrap/>
            <w:vAlign w:val="bottom"/>
            <w:hideMark/>
          </w:tcPr>
          <w:p w14:paraId="48ECC9C8" w14:textId="77777777" w:rsidR="0011727C" w:rsidRPr="00F77CC1" w:rsidRDefault="0011727C" w:rsidP="00F34B90">
            <w:pPr>
              <w:spacing w:before="120" w:line="240" w:lineRule="auto"/>
              <w:jc w:val="right"/>
              <w:rPr>
                <w:rFonts w:cs="Arial"/>
                <w:sz w:val="20"/>
                <w:szCs w:val="20"/>
              </w:rPr>
            </w:pPr>
            <w:r w:rsidRPr="00F77CC1">
              <w:rPr>
                <w:rFonts w:cs="Arial"/>
                <w:sz w:val="20"/>
                <w:szCs w:val="20"/>
              </w:rPr>
              <w:t>17.53%</w:t>
            </w:r>
          </w:p>
        </w:tc>
        <w:tc>
          <w:tcPr>
            <w:tcW w:w="941" w:type="dxa"/>
            <w:shd w:val="clear" w:color="auto" w:fill="auto"/>
            <w:noWrap/>
            <w:vAlign w:val="bottom"/>
            <w:hideMark/>
          </w:tcPr>
          <w:p w14:paraId="3F05C7FC" w14:textId="77777777" w:rsidR="0011727C" w:rsidRPr="00F77CC1" w:rsidRDefault="0011727C" w:rsidP="00F34B90">
            <w:pPr>
              <w:spacing w:before="120" w:line="240" w:lineRule="auto"/>
              <w:jc w:val="right"/>
              <w:rPr>
                <w:rFonts w:cs="Arial"/>
                <w:sz w:val="20"/>
                <w:szCs w:val="20"/>
              </w:rPr>
            </w:pPr>
            <w:r w:rsidRPr="00F77CC1">
              <w:rPr>
                <w:rFonts w:cs="Arial"/>
                <w:sz w:val="20"/>
                <w:szCs w:val="20"/>
              </w:rPr>
              <w:t>27.06%</w:t>
            </w:r>
          </w:p>
        </w:tc>
        <w:tc>
          <w:tcPr>
            <w:tcW w:w="941" w:type="dxa"/>
            <w:shd w:val="clear" w:color="auto" w:fill="auto"/>
            <w:noWrap/>
            <w:vAlign w:val="bottom"/>
            <w:hideMark/>
          </w:tcPr>
          <w:p w14:paraId="5BD5EF94" w14:textId="77777777" w:rsidR="0011727C" w:rsidRPr="00F77CC1" w:rsidRDefault="0011727C" w:rsidP="00F34B90">
            <w:pPr>
              <w:spacing w:before="120" w:line="240" w:lineRule="auto"/>
              <w:jc w:val="right"/>
              <w:rPr>
                <w:rFonts w:cs="Arial"/>
                <w:sz w:val="20"/>
                <w:szCs w:val="20"/>
              </w:rPr>
            </w:pPr>
            <w:r w:rsidRPr="00F77CC1">
              <w:rPr>
                <w:rFonts w:cs="Arial"/>
                <w:sz w:val="20"/>
                <w:szCs w:val="20"/>
              </w:rPr>
              <w:t>20.83%</w:t>
            </w:r>
          </w:p>
        </w:tc>
        <w:tc>
          <w:tcPr>
            <w:tcW w:w="941" w:type="dxa"/>
            <w:shd w:val="clear" w:color="auto" w:fill="auto"/>
            <w:noWrap/>
            <w:vAlign w:val="bottom"/>
            <w:hideMark/>
          </w:tcPr>
          <w:p w14:paraId="3954E339" w14:textId="77777777" w:rsidR="0011727C" w:rsidRPr="00F77CC1" w:rsidRDefault="0011727C" w:rsidP="00F34B90">
            <w:pPr>
              <w:spacing w:before="120" w:line="240" w:lineRule="auto"/>
              <w:jc w:val="right"/>
              <w:rPr>
                <w:rFonts w:cs="Arial"/>
                <w:sz w:val="20"/>
                <w:szCs w:val="20"/>
              </w:rPr>
            </w:pPr>
            <w:r>
              <w:rPr>
                <w:rFonts w:cs="Arial"/>
                <w:sz w:val="20"/>
                <w:szCs w:val="20"/>
              </w:rPr>
              <w:t>20.29%</w:t>
            </w:r>
          </w:p>
        </w:tc>
        <w:tc>
          <w:tcPr>
            <w:tcW w:w="941" w:type="dxa"/>
            <w:vAlign w:val="bottom"/>
          </w:tcPr>
          <w:p w14:paraId="089DCF1D" w14:textId="77777777" w:rsidR="0011727C" w:rsidRPr="00F77CC1" w:rsidRDefault="0011727C" w:rsidP="00F34B90">
            <w:pPr>
              <w:spacing w:before="120" w:line="240" w:lineRule="auto"/>
              <w:jc w:val="right"/>
              <w:rPr>
                <w:rFonts w:cs="Arial"/>
                <w:sz w:val="20"/>
                <w:szCs w:val="20"/>
              </w:rPr>
            </w:pPr>
            <w:r>
              <w:rPr>
                <w:rFonts w:cs="Arial"/>
                <w:sz w:val="20"/>
                <w:szCs w:val="20"/>
              </w:rPr>
              <w:t>26.73%</w:t>
            </w:r>
          </w:p>
        </w:tc>
      </w:tr>
    </w:tbl>
    <w:p w14:paraId="2CA79FF2" w14:textId="77777777" w:rsidR="0011727C" w:rsidRPr="002D76C1" w:rsidRDefault="0011727C" w:rsidP="00C37155">
      <w:pPr>
        <w:ind w:left="567"/>
        <w:rPr>
          <w:sz w:val="24"/>
        </w:rPr>
      </w:pPr>
    </w:p>
    <w:sectPr w:rsidR="0011727C" w:rsidRPr="002D76C1" w:rsidSect="006B3AA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11F79" w14:textId="77777777" w:rsidR="00982C00" w:rsidRDefault="00982C00" w:rsidP="00C608F0">
      <w:pPr>
        <w:spacing w:after="0" w:line="240" w:lineRule="auto"/>
      </w:pPr>
      <w:r>
        <w:separator/>
      </w:r>
    </w:p>
  </w:endnote>
  <w:endnote w:type="continuationSeparator" w:id="0">
    <w:p w14:paraId="7CF542DE" w14:textId="77777777" w:rsidR="00982C00" w:rsidRDefault="00982C00" w:rsidP="00C60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666295"/>
      <w:docPartObj>
        <w:docPartGallery w:val="Page Numbers (Bottom of Page)"/>
        <w:docPartUnique/>
      </w:docPartObj>
    </w:sdtPr>
    <w:sdtEndPr>
      <w:rPr>
        <w:color w:val="4D4D4D"/>
      </w:rPr>
    </w:sdtEndPr>
    <w:sdtContent>
      <w:sdt>
        <w:sdtPr>
          <w:rPr>
            <w:color w:val="4D4D4D"/>
          </w:rPr>
          <w:id w:val="-1736078632"/>
          <w:docPartObj>
            <w:docPartGallery w:val="Page Numbers (Top of Page)"/>
            <w:docPartUnique/>
          </w:docPartObj>
        </w:sdtPr>
        <w:sdtEndPr/>
        <w:sdtContent>
          <w:sdt>
            <w:sdtPr>
              <w:id w:val="408048401"/>
              <w:docPartObj>
                <w:docPartGallery w:val="Page Numbers (Bottom of Page)"/>
                <w:docPartUnique/>
              </w:docPartObj>
            </w:sdtPr>
            <w:sdtEndPr>
              <w:rPr>
                <w:color w:val="4D4D4D"/>
              </w:rPr>
            </w:sdtEndPr>
            <w:sdtContent>
              <w:sdt>
                <w:sdtPr>
                  <w:rPr>
                    <w:color w:val="4D4D4D"/>
                  </w:rPr>
                  <w:id w:val="363023657"/>
                  <w:docPartObj>
                    <w:docPartGallery w:val="Page Numbers (Top of Page)"/>
                    <w:docPartUnique/>
                  </w:docPartObj>
                </w:sdtPr>
                <w:sdtEndPr/>
                <w:sdtContent>
                  <w:p w14:paraId="4E94C3F3" w14:textId="77777777" w:rsidR="00982C00" w:rsidRDefault="00982C00" w:rsidP="006B3AA8">
                    <w:pPr>
                      <w:pStyle w:val="Footer"/>
                      <w:rPr>
                        <w:color w:val="4D4D4D"/>
                      </w:rPr>
                    </w:pPr>
                    <w:r>
                      <w:rPr>
                        <w:color w:val="4D4D4D"/>
                      </w:rPr>
                      <w:t xml:space="preserve">Resource Management &amp; Planning Appeal Tribunal </w:t>
                    </w:r>
                  </w:p>
                  <w:p w14:paraId="2157A49E" w14:textId="33BAB748" w:rsidR="00982C00" w:rsidRPr="006B3AA8" w:rsidRDefault="00F236C8" w:rsidP="006B3AA8">
                    <w:pPr>
                      <w:pStyle w:val="Footer"/>
                      <w:tabs>
                        <w:tab w:val="left" w:pos="2115"/>
                      </w:tabs>
                      <w:rPr>
                        <w:color w:val="4D4D4D"/>
                      </w:rPr>
                    </w:pPr>
                    <w:sdt>
                      <w:sdtPr>
                        <w:rPr>
                          <w:color w:val="4D4D4D"/>
                        </w:rPr>
                        <w:alias w:val="Title"/>
                        <w:tag w:val=""/>
                        <w:id w:val="1682708347"/>
                        <w:dataBinding w:prefixMappings="xmlns:ns0='http://purl.org/dc/elements/1.1/' xmlns:ns1='http://schemas.openxmlformats.org/package/2006/metadata/core-properties' " w:xpath="/ns1:coreProperties[1]/ns0:title[1]" w:storeItemID="{6C3C8BC8-F283-45AE-878A-BAB7291924A1}"/>
                        <w:text/>
                      </w:sdtPr>
                      <w:sdtEndPr/>
                      <w:sdtContent>
                        <w:r w:rsidR="00982C00">
                          <w:rPr>
                            <w:color w:val="4D4D4D"/>
                          </w:rPr>
                          <w:t>Annual Report 2016-17</w:t>
                        </w:r>
                      </w:sdtContent>
                    </w:sdt>
                    <w:r w:rsidR="00982C00" w:rsidRPr="00265123">
                      <w:rPr>
                        <w:color w:val="4D4D4D"/>
                      </w:rPr>
                      <w:tab/>
                    </w:r>
                    <w:r w:rsidR="00982C00">
                      <w:rPr>
                        <w:color w:val="4D4D4D"/>
                      </w:rPr>
                      <w:tab/>
                    </w:r>
                    <w:r w:rsidR="00982C00" w:rsidRPr="00265123">
                      <w:rPr>
                        <w:color w:val="4D4D4D"/>
                      </w:rPr>
                      <w:tab/>
                      <w:t xml:space="preserve">Page </w:t>
                    </w:r>
                    <w:r w:rsidR="00982C00" w:rsidRPr="00265123">
                      <w:rPr>
                        <w:b/>
                        <w:bCs/>
                        <w:color w:val="4D4D4D"/>
                        <w:sz w:val="24"/>
                        <w:szCs w:val="24"/>
                      </w:rPr>
                      <w:fldChar w:fldCharType="begin"/>
                    </w:r>
                    <w:r w:rsidR="00982C00" w:rsidRPr="00265123">
                      <w:rPr>
                        <w:b/>
                        <w:bCs/>
                        <w:color w:val="4D4D4D"/>
                      </w:rPr>
                      <w:instrText xml:space="preserve"> PAGE </w:instrText>
                    </w:r>
                    <w:r w:rsidR="00982C00" w:rsidRPr="00265123">
                      <w:rPr>
                        <w:b/>
                        <w:bCs/>
                        <w:color w:val="4D4D4D"/>
                        <w:sz w:val="24"/>
                        <w:szCs w:val="24"/>
                      </w:rPr>
                      <w:fldChar w:fldCharType="separate"/>
                    </w:r>
                    <w:r>
                      <w:rPr>
                        <w:b/>
                        <w:bCs/>
                        <w:noProof/>
                        <w:color w:val="4D4D4D"/>
                      </w:rPr>
                      <w:t>5</w:t>
                    </w:r>
                    <w:r w:rsidR="00982C00" w:rsidRPr="00265123">
                      <w:rPr>
                        <w:b/>
                        <w:bCs/>
                        <w:color w:val="4D4D4D"/>
                        <w:sz w:val="24"/>
                        <w:szCs w:val="24"/>
                      </w:rPr>
                      <w:fldChar w:fldCharType="end"/>
                    </w:r>
                    <w:r w:rsidR="00982C00" w:rsidRPr="00265123">
                      <w:rPr>
                        <w:color w:val="4D4D4D"/>
                      </w:rPr>
                      <w:t xml:space="preserve"> of </w:t>
                    </w:r>
                    <w:r w:rsidR="00982C00" w:rsidRPr="00265123">
                      <w:rPr>
                        <w:b/>
                        <w:bCs/>
                        <w:color w:val="4D4D4D"/>
                        <w:sz w:val="24"/>
                        <w:szCs w:val="24"/>
                      </w:rPr>
                      <w:fldChar w:fldCharType="begin"/>
                    </w:r>
                    <w:r w:rsidR="00982C00" w:rsidRPr="00265123">
                      <w:rPr>
                        <w:b/>
                        <w:bCs/>
                        <w:color w:val="4D4D4D"/>
                      </w:rPr>
                      <w:instrText xml:space="preserve"> NUMPAGES  </w:instrText>
                    </w:r>
                    <w:r w:rsidR="00982C00" w:rsidRPr="00265123">
                      <w:rPr>
                        <w:b/>
                        <w:bCs/>
                        <w:color w:val="4D4D4D"/>
                        <w:sz w:val="24"/>
                        <w:szCs w:val="24"/>
                      </w:rPr>
                      <w:fldChar w:fldCharType="separate"/>
                    </w:r>
                    <w:r>
                      <w:rPr>
                        <w:b/>
                        <w:bCs/>
                        <w:noProof/>
                        <w:color w:val="4D4D4D"/>
                      </w:rPr>
                      <w:t>15</w:t>
                    </w:r>
                    <w:r w:rsidR="00982C00" w:rsidRPr="00265123">
                      <w:rPr>
                        <w:b/>
                        <w:bCs/>
                        <w:color w:val="4D4D4D"/>
                        <w:sz w:val="24"/>
                        <w:szCs w:val="24"/>
                      </w:rPr>
                      <w:fldChar w:fldCharType="end"/>
                    </w:r>
                  </w:p>
                </w:sdtContent>
              </w:sdt>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490910"/>
      <w:docPartObj>
        <w:docPartGallery w:val="Page Numbers (Bottom of Page)"/>
        <w:docPartUnique/>
      </w:docPartObj>
    </w:sdtPr>
    <w:sdtEndPr>
      <w:rPr>
        <w:color w:val="4D4D4D"/>
      </w:rPr>
    </w:sdtEndPr>
    <w:sdtContent>
      <w:sdt>
        <w:sdtPr>
          <w:rPr>
            <w:color w:val="4D4D4D"/>
          </w:rPr>
          <w:id w:val="171299191"/>
          <w:docPartObj>
            <w:docPartGallery w:val="Page Numbers (Top of Page)"/>
            <w:docPartUnique/>
          </w:docPartObj>
        </w:sdtPr>
        <w:sdtEndPr/>
        <w:sdtContent>
          <w:p w14:paraId="73890579" w14:textId="3A9B5DB8" w:rsidR="00982C00" w:rsidRPr="0094318B" w:rsidRDefault="00982C00" w:rsidP="009F4ED0">
            <w:pPr>
              <w:pStyle w:val="Footer"/>
              <w:spacing w:before="120"/>
              <w:ind w:left="-680"/>
            </w:pPr>
            <w:r>
              <w:rPr>
                <w:noProof/>
                <w:lang w:val="en-GB" w:eastAsia="en-GB"/>
              </w:rPr>
              <w:drawing>
                <wp:anchor distT="0" distB="0" distL="114300" distR="114300" simplePos="0" relativeHeight="251660288" behindDoc="1" locked="0" layoutInCell="1" allowOverlap="1" wp14:anchorId="2F49B6EB" wp14:editId="39FB1F40">
                  <wp:simplePos x="0" y="0"/>
                  <wp:positionH relativeFrom="margin">
                    <wp:posOffset>5174615</wp:posOffset>
                  </wp:positionH>
                  <wp:positionV relativeFrom="margin">
                    <wp:posOffset>8648065</wp:posOffset>
                  </wp:positionV>
                  <wp:extent cx="866775" cy="803275"/>
                  <wp:effectExtent l="0" t="0" r="9525" b="0"/>
                  <wp:wrapTight wrapText="bothSides">
                    <wp:wrapPolygon edited="0">
                      <wp:start x="0" y="0"/>
                      <wp:lineTo x="0" y="21002"/>
                      <wp:lineTo x="21363" y="21002"/>
                      <wp:lineTo x="21363" y="0"/>
                      <wp:lineTo x="0" y="0"/>
                    </wp:wrapPolygon>
                  </wp:wrapTight>
                  <wp:docPr id="4" name="Picture 4" title="Tasmanian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079_Tas_Gov_no_tag_rgb_ver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6775" cy="803275"/>
                          </a:xfrm>
                          <a:prstGeom prst="rect">
                            <a:avLst/>
                          </a:prstGeom>
                        </pic:spPr>
                      </pic:pic>
                    </a:graphicData>
                  </a:graphic>
                  <wp14:sizeRelH relativeFrom="page">
                    <wp14:pctWidth>0</wp14:pctWidth>
                  </wp14:sizeRelH>
                  <wp14:sizeRelV relativeFrom="page">
                    <wp14:pctHeight>0</wp14:pctHeight>
                  </wp14:sizeRelV>
                </wp:anchor>
              </w:drawing>
            </w:r>
          </w:p>
          <w:p w14:paraId="6AA3F70E" w14:textId="77777777" w:rsidR="00982C00" w:rsidRPr="00265123" w:rsidRDefault="00982C00" w:rsidP="009F4ED0">
            <w:pPr>
              <w:pStyle w:val="Footer"/>
              <w:rPr>
                <w:color w:val="4D4D4D"/>
              </w:rPr>
            </w:pPr>
            <w:r>
              <w:rPr>
                <w:noProof/>
                <w:sz w:val="48"/>
                <w:szCs w:val="48"/>
                <w:lang w:val="en-GB" w:eastAsia="en-GB"/>
              </w:rPr>
              <w:drawing>
                <wp:anchor distT="0" distB="0" distL="114300" distR="114300" simplePos="0" relativeHeight="251659264" behindDoc="1" locked="0" layoutInCell="1" allowOverlap="1" wp14:anchorId="71EAB7D5" wp14:editId="549B618F">
                  <wp:simplePos x="0" y="0"/>
                  <wp:positionH relativeFrom="margin">
                    <wp:posOffset>-754578</wp:posOffset>
                  </wp:positionH>
                  <wp:positionV relativeFrom="paragraph">
                    <wp:posOffset>-817172</wp:posOffset>
                  </wp:positionV>
                  <wp:extent cx="7797165" cy="348615"/>
                  <wp:effectExtent l="0" t="0" r="0" b="0"/>
                  <wp:wrapNone/>
                  <wp:docPr id="20" name="Picture 20" title="&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wav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797165" cy="348615"/>
                          </a:xfrm>
                          <a:prstGeom prst="rect">
                            <a:avLst/>
                          </a:prstGeom>
                        </pic:spPr>
                      </pic:pic>
                    </a:graphicData>
                  </a:graphic>
                  <wp14:sizeRelH relativeFrom="page">
                    <wp14:pctWidth>0</wp14:pctWidth>
                  </wp14:sizeRelH>
                  <wp14:sizeRelV relativeFrom="page">
                    <wp14:pctHeight>0</wp14:pctHeight>
                  </wp14:sizeRelV>
                </wp:anchor>
              </w:drawing>
            </w:r>
            <w:r>
              <w:rPr>
                <w:color w:val="4D4D4D"/>
              </w:rPr>
              <w:tab/>
            </w:r>
            <w:r w:rsidRPr="00265123">
              <w:rPr>
                <w:color w:val="4D4D4D"/>
              </w:rPr>
              <w:tab/>
            </w:r>
          </w:p>
        </w:sdtContent>
      </w:sdt>
    </w:sdtContent>
  </w:sdt>
  <w:p w14:paraId="4CF29980" w14:textId="55DFCA5B" w:rsidR="00982C00" w:rsidRPr="004F4104" w:rsidRDefault="00982C00" w:rsidP="004F41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9741876"/>
      <w:docPartObj>
        <w:docPartGallery w:val="Page Numbers (Bottom of Page)"/>
        <w:docPartUnique/>
      </w:docPartObj>
    </w:sdtPr>
    <w:sdtEndPr/>
    <w:sdtContent>
      <w:sdt>
        <w:sdtPr>
          <w:id w:val="-411158424"/>
          <w:docPartObj>
            <w:docPartGallery w:val="Page Numbers (Top of Page)"/>
            <w:docPartUnique/>
          </w:docPartObj>
        </w:sdtPr>
        <w:sdtEndPr/>
        <w:sdtContent>
          <w:p w14:paraId="37E4E35F" w14:textId="0B6EDA65" w:rsidR="00982C00" w:rsidRDefault="00982C00" w:rsidP="009B54E9">
            <w:pPr>
              <w:pStyle w:val="Footer"/>
              <w:tabs>
                <w:tab w:val="clear" w:pos="9026"/>
                <w:tab w:val="right" w:pos="9638"/>
              </w:tabs>
            </w:pPr>
            <w:r>
              <w:t xml:space="preserve">Resource Management &amp; Planning Appeal Tribunal </w:t>
            </w:r>
            <w:r>
              <w:br/>
              <w:t>Annual Report 2016 – 2017</w:t>
            </w:r>
            <w:r>
              <w:tab/>
            </w:r>
            <w:r>
              <w:tab/>
              <w:t xml:space="preserve">Page </w:t>
            </w:r>
            <w:r>
              <w:rPr>
                <w:b/>
                <w:bCs/>
                <w:sz w:val="24"/>
                <w:szCs w:val="24"/>
              </w:rPr>
              <w:fldChar w:fldCharType="begin"/>
            </w:r>
            <w:r>
              <w:rPr>
                <w:b/>
                <w:bCs/>
              </w:rPr>
              <w:instrText xml:space="preserve"> PAGE </w:instrText>
            </w:r>
            <w:r>
              <w:rPr>
                <w:b/>
                <w:bCs/>
                <w:sz w:val="24"/>
                <w:szCs w:val="24"/>
              </w:rPr>
              <w:fldChar w:fldCharType="separate"/>
            </w:r>
            <w:r w:rsidR="00F236C8">
              <w:rPr>
                <w:b/>
                <w:bCs/>
                <w:noProof/>
              </w:rPr>
              <w:t>15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236C8">
              <w:rPr>
                <w:b/>
                <w:bCs/>
                <w:noProof/>
              </w:rPr>
              <w:t>15</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00CF8" w14:textId="77777777" w:rsidR="00982C00" w:rsidRDefault="00982C00" w:rsidP="00C608F0">
      <w:pPr>
        <w:spacing w:after="0" w:line="240" w:lineRule="auto"/>
      </w:pPr>
      <w:r>
        <w:separator/>
      </w:r>
    </w:p>
  </w:footnote>
  <w:footnote w:type="continuationSeparator" w:id="0">
    <w:p w14:paraId="4D45C94D" w14:textId="77777777" w:rsidR="00982C00" w:rsidRDefault="00982C00" w:rsidP="00C608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3854A" w14:textId="77777777" w:rsidR="00982C00" w:rsidRDefault="00982C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2EEF1" w14:textId="77777777" w:rsidR="00982C00" w:rsidRDefault="00982C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EE55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37C20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3C18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CA0BE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52ABC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2838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C0DE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28180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420E2C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BE455A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224CBC"/>
    <w:multiLevelType w:val="multilevel"/>
    <w:tmpl w:val="6C125E7A"/>
    <w:lvl w:ilvl="0">
      <w:start w:val="1"/>
      <w:numFmt w:val="decimal"/>
      <w:pStyle w:val="Heading1"/>
      <w:lvlText w:val="%1"/>
      <w:lvlJc w:val="left"/>
      <w:pPr>
        <w:ind w:left="432" w:hanging="432"/>
      </w:pPr>
    </w:lvl>
    <w:lvl w:ilvl="1">
      <w:start w:val="1"/>
      <w:numFmt w:val="decimal"/>
      <w:pStyle w:val="Heading2"/>
      <w:lvlText w:val="%1.%2"/>
      <w:lvlJc w:val="left"/>
      <w:pPr>
        <w:ind w:left="7239"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3AA0D89"/>
    <w:multiLevelType w:val="multilevel"/>
    <w:tmpl w:val="A5A2D3FA"/>
    <w:numStyleLink w:val="Headinglist"/>
  </w:abstractNum>
  <w:abstractNum w:abstractNumId="12" w15:restartNumberingAfterBreak="0">
    <w:nsid w:val="1A197579"/>
    <w:multiLevelType w:val="hybridMultilevel"/>
    <w:tmpl w:val="E3B888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B6A2A07"/>
    <w:multiLevelType w:val="hybridMultilevel"/>
    <w:tmpl w:val="35A0ADF2"/>
    <w:lvl w:ilvl="0" w:tplc="6494FEA0">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3D95372"/>
    <w:multiLevelType w:val="multilevel"/>
    <w:tmpl w:val="A5A2D3FA"/>
    <w:styleLink w:val="Headinglist"/>
    <w:lvl w:ilvl="0">
      <w:start w:val="1"/>
      <w:numFmt w:val="decimal"/>
      <w:lvlText w:val="%1"/>
      <w:lvlJc w:val="left"/>
      <w:pPr>
        <w:ind w:left="567" w:hanging="210"/>
      </w:pPr>
      <w:rPr>
        <w:rFonts w:ascii="Gill Sans MT" w:hAnsi="Gill Sans MT" w:hint="default"/>
        <w:color w:val="31849B" w:themeColor="accent5" w:themeShade="BF"/>
        <w:sz w:val="48"/>
      </w:rPr>
    </w:lvl>
    <w:lvl w:ilvl="1">
      <w:start w:val="1"/>
      <w:numFmt w:val="decimal"/>
      <w:lvlText w:val="%2.%1"/>
      <w:lvlJc w:val="left"/>
      <w:pPr>
        <w:ind w:left="924" w:hanging="207"/>
      </w:pPr>
      <w:rPr>
        <w:rFonts w:ascii="Calibri" w:hAnsi="Calibri" w:hint="default"/>
        <w:b/>
        <w:i w:val="0"/>
        <w:color w:val="auto"/>
        <w:sz w:val="28"/>
      </w:rPr>
    </w:lvl>
    <w:lvl w:ilvl="2">
      <w:start w:val="1"/>
      <w:numFmt w:val="decimal"/>
      <w:lvlText w:val="%1.%2.%3"/>
      <w:lvlJc w:val="left"/>
      <w:pPr>
        <w:ind w:left="567" w:hanging="567"/>
      </w:pPr>
      <w:rPr>
        <w:rFonts w:ascii="Calibri" w:hAnsi="Calibri" w:hint="default"/>
        <w:b/>
        <w:i w:val="0"/>
        <w:color w:val="215868" w:themeColor="accent5" w:themeShade="80"/>
        <w:sz w:val="28"/>
      </w:rPr>
    </w:lvl>
    <w:lvl w:ilvl="3">
      <w:start w:val="1"/>
      <w:numFmt w:val="decimal"/>
      <w:lvlText w:val="(%4)"/>
      <w:lvlJc w:val="left"/>
      <w:pPr>
        <w:ind w:left="1797" w:hanging="360"/>
      </w:pPr>
      <w:rPr>
        <w:rFonts w:hint="default"/>
      </w:rPr>
    </w:lvl>
    <w:lvl w:ilvl="4">
      <w:start w:val="1"/>
      <w:numFmt w:val="lowerLetter"/>
      <w:lvlText w:val="(%5)"/>
      <w:lvlJc w:val="left"/>
      <w:pPr>
        <w:ind w:left="2157" w:hanging="360"/>
      </w:pPr>
      <w:rPr>
        <w:rFonts w:hint="default"/>
      </w:rPr>
    </w:lvl>
    <w:lvl w:ilvl="5">
      <w:start w:val="1"/>
      <w:numFmt w:val="lowerRoman"/>
      <w:lvlText w:val="(%6)"/>
      <w:lvlJc w:val="left"/>
      <w:pPr>
        <w:ind w:left="2517" w:hanging="360"/>
      </w:pPr>
      <w:rPr>
        <w:rFonts w:hint="default"/>
      </w:rPr>
    </w:lvl>
    <w:lvl w:ilvl="6">
      <w:start w:val="1"/>
      <w:numFmt w:val="decimal"/>
      <w:lvlText w:val="%7."/>
      <w:lvlJc w:val="left"/>
      <w:pPr>
        <w:ind w:left="2877" w:hanging="360"/>
      </w:pPr>
      <w:rPr>
        <w:rFonts w:hint="default"/>
      </w:rPr>
    </w:lvl>
    <w:lvl w:ilvl="7">
      <w:start w:val="1"/>
      <w:numFmt w:val="lowerLetter"/>
      <w:lvlText w:val="%8."/>
      <w:lvlJc w:val="left"/>
      <w:pPr>
        <w:ind w:left="3237" w:hanging="360"/>
      </w:pPr>
      <w:rPr>
        <w:rFonts w:hint="default"/>
      </w:rPr>
    </w:lvl>
    <w:lvl w:ilvl="8">
      <w:start w:val="1"/>
      <w:numFmt w:val="lowerRoman"/>
      <w:lvlText w:val="%9."/>
      <w:lvlJc w:val="left"/>
      <w:pPr>
        <w:ind w:left="3597" w:hanging="360"/>
      </w:pPr>
      <w:rPr>
        <w:rFonts w:hint="default"/>
      </w:rPr>
    </w:lvl>
  </w:abstractNum>
  <w:abstractNum w:abstractNumId="15" w15:restartNumberingAfterBreak="0">
    <w:nsid w:val="3F41702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10A4E5A"/>
    <w:multiLevelType w:val="multilevel"/>
    <w:tmpl w:val="A5A2D3FA"/>
    <w:numStyleLink w:val="Headinglist"/>
  </w:abstractNum>
  <w:abstractNum w:abstractNumId="17" w15:restartNumberingAfterBreak="0">
    <w:nsid w:val="45371F9C"/>
    <w:multiLevelType w:val="multilevel"/>
    <w:tmpl w:val="66182FC8"/>
    <w:lvl w:ilvl="0">
      <w:start w:val="1"/>
      <w:numFmt w:val="decimal"/>
      <w:lvlText w:val="%1"/>
      <w:lvlJc w:val="left"/>
      <w:pPr>
        <w:ind w:left="360" w:hanging="360"/>
      </w:pPr>
      <w:rPr>
        <w:rFonts w:ascii="Gill Sans MT" w:hAnsi="Gill Sans MT" w:hint="default"/>
        <w:color w:val="31849B" w:themeColor="accent5" w:themeShade="BF"/>
        <w:sz w:val="48"/>
      </w:rPr>
    </w:lvl>
    <w:lvl w:ilvl="1">
      <w:start w:val="1"/>
      <w:numFmt w:val="decimal"/>
      <w:lvlText w:val="%2.%1"/>
      <w:lvlJc w:val="left"/>
      <w:pPr>
        <w:ind w:left="567" w:hanging="207"/>
      </w:pPr>
      <w:rPr>
        <w:rFonts w:ascii="Calibri" w:hAnsi="Calibri" w:hint="default"/>
        <w:b/>
        <w:i w:val="0"/>
        <w:color w:val="auto"/>
        <w:sz w:val="28"/>
      </w:rPr>
    </w:lvl>
    <w:lvl w:ilvl="2">
      <w:start w:val="1"/>
      <w:numFmt w:val="decimal"/>
      <w:lvlText w:val="%1.%2.%3"/>
      <w:lvlJc w:val="left"/>
      <w:pPr>
        <w:ind w:left="567" w:hanging="567"/>
      </w:pPr>
      <w:rPr>
        <w:rFonts w:ascii="Calibri" w:hAnsi="Calibri" w:hint="default"/>
        <w:b/>
        <w:i w:val="0"/>
        <w:color w:val="215868" w:themeColor="accent5" w:themeShade="80"/>
        <w:sz w:val="28"/>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296A10"/>
    <w:multiLevelType w:val="multilevel"/>
    <w:tmpl w:val="A5A2D3FA"/>
    <w:numStyleLink w:val="Headinglist"/>
  </w:abstractNum>
  <w:abstractNum w:abstractNumId="19" w15:restartNumberingAfterBreak="0">
    <w:nsid w:val="644C7A89"/>
    <w:multiLevelType w:val="multilevel"/>
    <w:tmpl w:val="7F08E52A"/>
    <w:lvl w:ilvl="0">
      <w:start w:val="1"/>
      <w:numFmt w:val="decimal"/>
      <w:lvlText w:val="%1."/>
      <w:lvlJc w:val="left"/>
      <w:pPr>
        <w:ind w:left="567" w:hanging="567"/>
      </w:pPr>
      <w:rPr>
        <w:rFonts w:ascii="Gill Sans MT" w:hAnsi="Gill Sans MT" w:hint="default"/>
        <w:color w:val="31849B" w:themeColor="accent5" w:themeShade="BF"/>
        <w:sz w:val="48"/>
      </w:rPr>
    </w:lvl>
    <w:lvl w:ilvl="1">
      <w:start w:val="1"/>
      <w:numFmt w:val="decimal"/>
      <w:lvlText w:val="%2.%1"/>
      <w:lvlJc w:val="left"/>
      <w:pPr>
        <w:ind w:left="567" w:hanging="207"/>
      </w:pPr>
      <w:rPr>
        <w:rFonts w:ascii="Calibri" w:hAnsi="Calibri" w:hint="default"/>
        <w:b/>
        <w:i w:val="0"/>
        <w:color w:val="auto"/>
        <w:sz w:val="28"/>
      </w:rPr>
    </w:lvl>
    <w:lvl w:ilvl="2">
      <w:start w:val="1"/>
      <w:numFmt w:val="decimal"/>
      <w:lvlText w:val="%1.%2.%3"/>
      <w:lvlJc w:val="left"/>
      <w:pPr>
        <w:ind w:left="567" w:hanging="210"/>
      </w:pPr>
      <w:rPr>
        <w:rFonts w:ascii="Calibri" w:hAnsi="Calibri" w:hint="default"/>
        <w:b/>
        <w:i w:val="0"/>
        <w:color w:val="215868" w:themeColor="accent5" w:themeShade="80"/>
        <w:sz w:val="28"/>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82B1961"/>
    <w:multiLevelType w:val="multilevel"/>
    <w:tmpl w:val="A5A2D3FA"/>
    <w:numStyleLink w:val="Headinglist"/>
  </w:abstractNum>
  <w:abstractNum w:abstractNumId="21" w15:restartNumberingAfterBreak="0">
    <w:nsid w:val="74024011"/>
    <w:multiLevelType w:val="multilevel"/>
    <w:tmpl w:val="CD1433C8"/>
    <w:lvl w:ilvl="0">
      <w:start w:val="1"/>
      <w:numFmt w:val="decimal"/>
      <w:lvlText w:val="%1"/>
      <w:lvlJc w:val="left"/>
      <w:pPr>
        <w:ind w:left="360" w:hanging="360"/>
      </w:pPr>
      <w:rPr>
        <w:rFonts w:ascii="Gill Sans MT" w:hAnsi="Gill Sans MT" w:hint="default"/>
        <w:color w:val="31849B" w:themeColor="accent5" w:themeShade="BF"/>
        <w:sz w:val="48"/>
      </w:rPr>
    </w:lvl>
    <w:lvl w:ilvl="1">
      <w:start w:val="1"/>
      <w:numFmt w:val="decimal"/>
      <w:lvlText w:val="%2.%1"/>
      <w:lvlJc w:val="left"/>
      <w:pPr>
        <w:ind w:left="567" w:hanging="567"/>
      </w:pPr>
      <w:rPr>
        <w:rFonts w:ascii="Calibri" w:hAnsi="Calibri" w:hint="default"/>
        <w:b/>
        <w:i w:val="0"/>
        <w:color w:val="auto"/>
        <w:sz w:val="32"/>
      </w:rPr>
    </w:lvl>
    <w:lvl w:ilvl="2">
      <w:start w:val="1"/>
      <w:numFmt w:val="decimal"/>
      <w:lvlText w:val="%1.%2.%3"/>
      <w:lvlJc w:val="left"/>
      <w:pPr>
        <w:ind w:left="567" w:hanging="567"/>
      </w:pPr>
      <w:rPr>
        <w:rFonts w:ascii="Calibri" w:hAnsi="Calibri" w:hint="default"/>
        <w:b/>
        <w:i w:val="0"/>
        <w:color w:val="215868" w:themeColor="accent5" w:themeShade="80"/>
        <w:sz w:val="28"/>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B4F477F"/>
    <w:multiLevelType w:val="hybridMultilevel"/>
    <w:tmpl w:val="D2BE8484"/>
    <w:lvl w:ilvl="0" w:tplc="6494FEA0">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22"/>
  </w:num>
  <w:num w:numId="13">
    <w:abstractNumId w:val="13"/>
  </w:num>
  <w:num w:numId="14">
    <w:abstractNumId w:val="14"/>
  </w:num>
  <w:num w:numId="15">
    <w:abstractNumId w:val="11"/>
  </w:num>
  <w:num w:numId="16">
    <w:abstractNumId w:val="19"/>
  </w:num>
  <w:num w:numId="17">
    <w:abstractNumId w:val="21"/>
  </w:num>
  <w:num w:numId="18">
    <w:abstractNumId w:val="17"/>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0"/>
  </w:num>
  <w:num w:numId="25">
    <w:abstractNumId w:val="18"/>
  </w:num>
  <w:num w:numId="26">
    <w:abstractNumId w:val="1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2"/>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386"/>
    <w:rsid w:val="00022058"/>
    <w:rsid w:val="0004076E"/>
    <w:rsid w:val="000576FC"/>
    <w:rsid w:val="0006099B"/>
    <w:rsid w:val="00070AA8"/>
    <w:rsid w:val="00072C69"/>
    <w:rsid w:val="00085744"/>
    <w:rsid w:val="000A204C"/>
    <w:rsid w:val="000A4E85"/>
    <w:rsid w:val="000B2D55"/>
    <w:rsid w:val="000C512A"/>
    <w:rsid w:val="00115421"/>
    <w:rsid w:val="0011727C"/>
    <w:rsid w:val="00117418"/>
    <w:rsid w:val="00117C5C"/>
    <w:rsid w:val="001222BB"/>
    <w:rsid w:val="00135A99"/>
    <w:rsid w:val="00154E75"/>
    <w:rsid w:val="00165035"/>
    <w:rsid w:val="0017363C"/>
    <w:rsid w:val="00174186"/>
    <w:rsid w:val="0018383A"/>
    <w:rsid w:val="001E7253"/>
    <w:rsid w:val="001F3A7A"/>
    <w:rsid w:val="001F6FA2"/>
    <w:rsid w:val="00204779"/>
    <w:rsid w:val="00206552"/>
    <w:rsid w:val="0021065A"/>
    <w:rsid w:val="00217200"/>
    <w:rsid w:val="00227ABB"/>
    <w:rsid w:val="00231E6B"/>
    <w:rsid w:val="00231FF9"/>
    <w:rsid w:val="00257E9A"/>
    <w:rsid w:val="002626EC"/>
    <w:rsid w:val="00265123"/>
    <w:rsid w:val="00265FAB"/>
    <w:rsid w:val="00291F8C"/>
    <w:rsid w:val="002B579C"/>
    <w:rsid w:val="002C7988"/>
    <w:rsid w:val="002D76C1"/>
    <w:rsid w:val="002E04DC"/>
    <w:rsid w:val="0032189B"/>
    <w:rsid w:val="00326626"/>
    <w:rsid w:val="003407DF"/>
    <w:rsid w:val="003435DB"/>
    <w:rsid w:val="003477A1"/>
    <w:rsid w:val="00353D2A"/>
    <w:rsid w:val="00373735"/>
    <w:rsid w:val="0038689A"/>
    <w:rsid w:val="003D78D9"/>
    <w:rsid w:val="003F5E5E"/>
    <w:rsid w:val="004014E7"/>
    <w:rsid w:val="0041058F"/>
    <w:rsid w:val="00421816"/>
    <w:rsid w:val="004352A6"/>
    <w:rsid w:val="004636FB"/>
    <w:rsid w:val="004925C8"/>
    <w:rsid w:val="004C4DC7"/>
    <w:rsid w:val="004D58D3"/>
    <w:rsid w:val="004E21B6"/>
    <w:rsid w:val="004F4104"/>
    <w:rsid w:val="004F6B62"/>
    <w:rsid w:val="00544403"/>
    <w:rsid w:val="0055102A"/>
    <w:rsid w:val="005549C0"/>
    <w:rsid w:val="005728BE"/>
    <w:rsid w:val="00581182"/>
    <w:rsid w:val="00585DCD"/>
    <w:rsid w:val="0059010E"/>
    <w:rsid w:val="005B3A3E"/>
    <w:rsid w:val="005C4F73"/>
    <w:rsid w:val="005D7CB6"/>
    <w:rsid w:val="005E4B61"/>
    <w:rsid w:val="00600281"/>
    <w:rsid w:val="00617868"/>
    <w:rsid w:val="00621BCA"/>
    <w:rsid w:val="00633280"/>
    <w:rsid w:val="00644FA6"/>
    <w:rsid w:val="0064786B"/>
    <w:rsid w:val="0065343C"/>
    <w:rsid w:val="00671D14"/>
    <w:rsid w:val="006A3EED"/>
    <w:rsid w:val="006B3AA8"/>
    <w:rsid w:val="006B4D04"/>
    <w:rsid w:val="006B5876"/>
    <w:rsid w:val="006D564F"/>
    <w:rsid w:val="006E3E44"/>
    <w:rsid w:val="006F1797"/>
    <w:rsid w:val="007067C3"/>
    <w:rsid w:val="00712D9F"/>
    <w:rsid w:val="00731117"/>
    <w:rsid w:val="00750B08"/>
    <w:rsid w:val="00753E8D"/>
    <w:rsid w:val="007554A2"/>
    <w:rsid w:val="00772010"/>
    <w:rsid w:val="007A4313"/>
    <w:rsid w:val="007A78CF"/>
    <w:rsid w:val="007D6D2C"/>
    <w:rsid w:val="007E3992"/>
    <w:rsid w:val="0080439B"/>
    <w:rsid w:val="00816E65"/>
    <w:rsid w:val="00826FDE"/>
    <w:rsid w:val="00832B5D"/>
    <w:rsid w:val="008337D5"/>
    <w:rsid w:val="00835C87"/>
    <w:rsid w:val="00843FCE"/>
    <w:rsid w:val="00862515"/>
    <w:rsid w:val="0086351E"/>
    <w:rsid w:val="00874E24"/>
    <w:rsid w:val="00877CAF"/>
    <w:rsid w:val="00881386"/>
    <w:rsid w:val="00886420"/>
    <w:rsid w:val="008D46EA"/>
    <w:rsid w:val="008F59A2"/>
    <w:rsid w:val="009133AE"/>
    <w:rsid w:val="00914872"/>
    <w:rsid w:val="00922676"/>
    <w:rsid w:val="009262CA"/>
    <w:rsid w:val="009275AE"/>
    <w:rsid w:val="0094318B"/>
    <w:rsid w:val="00955109"/>
    <w:rsid w:val="009571D0"/>
    <w:rsid w:val="0096253C"/>
    <w:rsid w:val="00970BA3"/>
    <w:rsid w:val="00972B92"/>
    <w:rsid w:val="009816EC"/>
    <w:rsid w:val="00982C00"/>
    <w:rsid w:val="00990861"/>
    <w:rsid w:val="00996415"/>
    <w:rsid w:val="009A5AA8"/>
    <w:rsid w:val="009B54E9"/>
    <w:rsid w:val="009B714D"/>
    <w:rsid w:val="009E263A"/>
    <w:rsid w:val="009E35D5"/>
    <w:rsid w:val="009F4ED0"/>
    <w:rsid w:val="00A23C0C"/>
    <w:rsid w:val="00A24877"/>
    <w:rsid w:val="00A77CE0"/>
    <w:rsid w:val="00A81199"/>
    <w:rsid w:val="00A84689"/>
    <w:rsid w:val="00A94796"/>
    <w:rsid w:val="00AA38F3"/>
    <w:rsid w:val="00AD0907"/>
    <w:rsid w:val="00AE454C"/>
    <w:rsid w:val="00B13697"/>
    <w:rsid w:val="00B2005D"/>
    <w:rsid w:val="00B33539"/>
    <w:rsid w:val="00B47D9C"/>
    <w:rsid w:val="00B63081"/>
    <w:rsid w:val="00B71BA0"/>
    <w:rsid w:val="00B75EA9"/>
    <w:rsid w:val="00B875A6"/>
    <w:rsid w:val="00BA1F5A"/>
    <w:rsid w:val="00BB2F53"/>
    <w:rsid w:val="00BC043B"/>
    <w:rsid w:val="00BC3B05"/>
    <w:rsid w:val="00BD2E20"/>
    <w:rsid w:val="00C27221"/>
    <w:rsid w:val="00C3555F"/>
    <w:rsid w:val="00C37155"/>
    <w:rsid w:val="00C439CC"/>
    <w:rsid w:val="00C52F46"/>
    <w:rsid w:val="00C608F0"/>
    <w:rsid w:val="00C644EA"/>
    <w:rsid w:val="00C73D6F"/>
    <w:rsid w:val="00C74182"/>
    <w:rsid w:val="00C80C11"/>
    <w:rsid w:val="00C82C08"/>
    <w:rsid w:val="00CD61CD"/>
    <w:rsid w:val="00CD71FB"/>
    <w:rsid w:val="00CF6141"/>
    <w:rsid w:val="00D048A5"/>
    <w:rsid w:val="00D31B76"/>
    <w:rsid w:val="00D45A33"/>
    <w:rsid w:val="00D67501"/>
    <w:rsid w:val="00D8612D"/>
    <w:rsid w:val="00DB203E"/>
    <w:rsid w:val="00DD0ECD"/>
    <w:rsid w:val="00DF7C76"/>
    <w:rsid w:val="00E02014"/>
    <w:rsid w:val="00E03F29"/>
    <w:rsid w:val="00E16FE2"/>
    <w:rsid w:val="00E226BE"/>
    <w:rsid w:val="00E2541B"/>
    <w:rsid w:val="00E35B10"/>
    <w:rsid w:val="00E37D9C"/>
    <w:rsid w:val="00E4152F"/>
    <w:rsid w:val="00E5623C"/>
    <w:rsid w:val="00E572B4"/>
    <w:rsid w:val="00E82C5E"/>
    <w:rsid w:val="00EA0715"/>
    <w:rsid w:val="00EA6E9E"/>
    <w:rsid w:val="00EB009F"/>
    <w:rsid w:val="00EB3064"/>
    <w:rsid w:val="00EF743D"/>
    <w:rsid w:val="00F15C9E"/>
    <w:rsid w:val="00F236C8"/>
    <w:rsid w:val="00F34B90"/>
    <w:rsid w:val="00F61632"/>
    <w:rsid w:val="00F70238"/>
    <w:rsid w:val="00F76CCF"/>
    <w:rsid w:val="00F77B81"/>
    <w:rsid w:val="00F804BA"/>
    <w:rsid w:val="00F9352F"/>
    <w:rsid w:val="00FA37FE"/>
    <w:rsid w:val="00FA5DA2"/>
    <w:rsid w:val="00FA645F"/>
    <w:rsid w:val="00FB4CB2"/>
    <w:rsid w:val="00FC06DC"/>
    <w:rsid w:val="00FC3451"/>
    <w:rsid w:val="00FC404C"/>
    <w:rsid w:val="00FD1A09"/>
    <w:rsid w:val="00FD3E57"/>
    <w:rsid w:val="00FD6A1D"/>
    <w:rsid w:val="00FE52B9"/>
    <w:rsid w:val="00FE6E0D"/>
    <w:rsid w:val="00FF188D"/>
    <w:rsid w:val="00FF56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9B6038"/>
  <w15:docId w15:val="{ADF348A8-12F1-40C0-A36A-B6C06A9F5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Paragraph"/>
    <w:qFormat/>
    <w:rsid w:val="009571D0"/>
    <w:pPr>
      <w:spacing w:after="240" w:line="276" w:lineRule="auto"/>
    </w:pPr>
    <w:rPr>
      <w:rFonts w:ascii="Gill Sans MT" w:hAnsi="Gill Sans MT"/>
      <w:sz w:val="22"/>
      <w:szCs w:val="22"/>
      <w:lang w:eastAsia="en-US"/>
    </w:rPr>
  </w:style>
  <w:style w:type="paragraph" w:styleId="Heading1">
    <w:name w:val="heading 1"/>
    <w:basedOn w:val="Title"/>
    <w:next w:val="Normal"/>
    <w:link w:val="Heading1Char"/>
    <w:uiPriority w:val="9"/>
    <w:qFormat/>
    <w:rsid w:val="00FA645F"/>
    <w:pPr>
      <w:numPr>
        <w:numId w:val="26"/>
      </w:numPr>
      <w:spacing w:after="480" w:line="240" w:lineRule="auto"/>
    </w:pPr>
    <w:rPr>
      <w:rFonts w:ascii="Arial" w:hAnsi="Arial"/>
      <w:b/>
      <w:color w:val="39607A"/>
    </w:rPr>
  </w:style>
  <w:style w:type="paragraph" w:styleId="Heading2">
    <w:name w:val="heading 2"/>
    <w:basedOn w:val="Heading1"/>
    <w:next w:val="Normal"/>
    <w:link w:val="Heading2Char"/>
    <w:autoRedefine/>
    <w:uiPriority w:val="9"/>
    <w:unhideWhenUsed/>
    <w:qFormat/>
    <w:rsid w:val="00FA645F"/>
    <w:pPr>
      <w:keepNext/>
      <w:numPr>
        <w:ilvl w:val="1"/>
      </w:numPr>
      <w:spacing w:before="240" w:after="120"/>
      <w:ind w:left="576"/>
      <w:outlineLvl w:val="1"/>
    </w:pPr>
    <w:rPr>
      <w:bCs w:val="0"/>
      <w:iCs/>
      <w:color w:val="005A96"/>
      <w:sz w:val="36"/>
      <w:szCs w:val="28"/>
      <w:shd w:val="clear" w:color="auto" w:fill="FFFFFF"/>
    </w:rPr>
  </w:style>
  <w:style w:type="paragraph" w:styleId="Heading3">
    <w:name w:val="heading 3"/>
    <w:basedOn w:val="Normal"/>
    <w:next w:val="Normal"/>
    <w:link w:val="Heading3Char"/>
    <w:uiPriority w:val="9"/>
    <w:unhideWhenUsed/>
    <w:qFormat/>
    <w:rsid w:val="00FA645F"/>
    <w:pPr>
      <w:keepNext/>
      <w:numPr>
        <w:ilvl w:val="2"/>
        <w:numId w:val="26"/>
      </w:numPr>
      <w:spacing w:before="240" w:after="60"/>
      <w:outlineLvl w:val="2"/>
    </w:pPr>
    <w:rPr>
      <w:rFonts w:ascii="Arial" w:eastAsiaTheme="majorEastAsia" w:hAnsi="Arial" w:cstheme="majorBidi"/>
      <w:bCs/>
      <w:sz w:val="28"/>
      <w:szCs w:val="26"/>
    </w:rPr>
  </w:style>
  <w:style w:type="paragraph" w:styleId="Heading4">
    <w:name w:val="heading 4"/>
    <w:basedOn w:val="Normal"/>
    <w:next w:val="Normal"/>
    <w:link w:val="Heading4Char"/>
    <w:uiPriority w:val="9"/>
    <w:unhideWhenUsed/>
    <w:qFormat/>
    <w:rsid w:val="00353D2A"/>
    <w:pPr>
      <w:keepNext/>
      <w:numPr>
        <w:ilvl w:val="3"/>
        <w:numId w:val="26"/>
      </w:numPr>
      <w:spacing w:before="120" w:after="120"/>
      <w:outlineLvl w:val="3"/>
    </w:pPr>
    <w:rPr>
      <w:rFonts w:eastAsiaTheme="minorEastAsia" w:cstheme="minorBidi"/>
      <w:bCs/>
      <w:color w:val="000000" w:themeColor="text1"/>
      <w:szCs w:val="28"/>
    </w:rPr>
  </w:style>
  <w:style w:type="paragraph" w:styleId="Heading5">
    <w:name w:val="heading 5"/>
    <w:basedOn w:val="Normal"/>
    <w:next w:val="Normal"/>
    <w:link w:val="Heading5Char"/>
    <w:uiPriority w:val="9"/>
    <w:semiHidden/>
    <w:unhideWhenUsed/>
    <w:qFormat/>
    <w:rsid w:val="00022058"/>
    <w:pPr>
      <w:keepNext/>
      <w:keepLines/>
      <w:numPr>
        <w:ilvl w:val="4"/>
        <w:numId w:val="2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22058"/>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22058"/>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22058"/>
    <w:pPr>
      <w:keepNext/>
      <w:keepLines/>
      <w:numPr>
        <w:ilvl w:val="7"/>
        <w:numId w:val="2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22058"/>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45F"/>
    <w:rPr>
      <w:rFonts w:ascii="Arial" w:eastAsiaTheme="majorEastAsia" w:hAnsi="Arial" w:cstheme="majorBidi"/>
      <w:b/>
      <w:bCs/>
      <w:color w:val="39607A"/>
      <w:kern w:val="28"/>
      <w:sz w:val="48"/>
      <w:szCs w:val="32"/>
      <w:lang w:eastAsia="en-US"/>
    </w:rPr>
  </w:style>
  <w:style w:type="paragraph" w:styleId="Title">
    <w:name w:val="Title"/>
    <w:aliases w:val="Page title"/>
    <w:basedOn w:val="Normal"/>
    <w:next w:val="Normal"/>
    <w:link w:val="TitleChar"/>
    <w:uiPriority w:val="10"/>
    <w:rsid w:val="009571D0"/>
    <w:pPr>
      <w:spacing w:after="600"/>
      <w:outlineLvl w:val="0"/>
    </w:pPr>
    <w:rPr>
      <w:rFonts w:eastAsiaTheme="majorEastAsia" w:cstheme="majorBidi"/>
      <w:bCs/>
      <w:color w:val="00757A"/>
      <w:kern w:val="28"/>
      <w:sz w:val="48"/>
      <w:szCs w:val="32"/>
    </w:rPr>
  </w:style>
  <w:style w:type="character" w:customStyle="1" w:styleId="TitleChar">
    <w:name w:val="Title Char"/>
    <w:aliases w:val="Page title Char"/>
    <w:basedOn w:val="DefaultParagraphFont"/>
    <w:link w:val="Title"/>
    <w:uiPriority w:val="10"/>
    <w:rsid w:val="009571D0"/>
    <w:rPr>
      <w:rFonts w:ascii="Gill Sans MT" w:eastAsiaTheme="majorEastAsia" w:hAnsi="Gill Sans MT" w:cstheme="majorBidi"/>
      <w:bCs/>
      <w:color w:val="00757A"/>
      <w:kern w:val="28"/>
      <w:sz w:val="48"/>
      <w:szCs w:val="32"/>
      <w:lang w:eastAsia="en-US"/>
    </w:rPr>
  </w:style>
  <w:style w:type="character" w:customStyle="1" w:styleId="Heading2Char">
    <w:name w:val="Heading 2 Char"/>
    <w:basedOn w:val="DefaultParagraphFont"/>
    <w:link w:val="Heading2"/>
    <w:uiPriority w:val="9"/>
    <w:rsid w:val="00FA645F"/>
    <w:rPr>
      <w:rFonts w:ascii="Arial" w:eastAsiaTheme="majorEastAsia" w:hAnsi="Arial" w:cstheme="majorBidi"/>
      <w:b/>
      <w:iCs/>
      <w:color w:val="005A96"/>
      <w:kern w:val="28"/>
      <w:sz w:val="36"/>
      <w:szCs w:val="28"/>
      <w:lang w:eastAsia="en-US"/>
    </w:rPr>
  </w:style>
  <w:style w:type="character" w:customStyle="1" w:styleId="Heading3Char">
    <w:name w:val="Heading 3 Char"/>
    <w:basedOn w:val="DefaultParagraphFont"/>
    <w:link w:val="Heading3"/>
    <w:uiPriority w:val="9"/>
    <w:rsid w:val="00FA645F"/>
    <w:rPr>
      <w:rFonts w:ascii="Arial" w:eastAsiaTheme="majorEastAsia" w:hAnsi="Arial" w:cstheme="majorBidi"/>
      <w:bCs/>
      <w:sz w:val="28"/>
      <w:szCs w:val="26"/>
      <w:lang w:eastAsia="en-US"/>
    </w:rPr>
  </w:style>
  <w:style w:type="character" w:customStyle="1" w:styleId="Heading4Char">
    <w:name w:val="Heading 4 Char"/>
    <w:basedOn w:val="DefaultParagraphFont"/>
    <w:link w:val="Heading4"/>
    <w:uiPriority w:val="9"/>
    <w:rsid w:val="00353D2A"/>
    <w:rPr>
      <w:rFonts w:ascii="Gill Sans MT" w:eastAsiaTheme="minorEastAsia" w:hAnsi="Gill Sans MT" w:cstheme="minorBidi"/>
      <w:bCs/>
      <w:color w:val="000000" w:themeColor="text1"/>
      <w:sz w:val="22"/>
      <w:szCs w:val="28"/>
      <w:lang w:eastAsia="en-US"/>
    </w:rPr>
  </w:style>
  <w:style w:type="paragraph" w:styleId="ListBullet">
    <w:name w:val="List Bullet"/>
    <w:basedOn w:val="Normal"/>
    <w:uiPriority w:val="99"/>
    <w:unhideWhenUsed/>
    <w:qFormat/>
    <w:rsid w:val="00886420"/>
    <w:pPr>
      <w:numPr>
        <w:numId w:val="1"/>
      </w:numPr>
      <w:spacing w:line="360" w:lineRule="auto"/>
      <w:ind w:left="720" w:right="363" w:hanging="357"/>
      <w:contextualSpacing/>
    </w:pPr>
  </w:style>
  <w:style w:type="paragraph" w:styleId="ListNumber">
    <w:name w:val="List Number"/>
    <w:basedOn w:val="Normal"/>
    <w:uiPriority w:val="99"/>
    <w:unhideWhenUsed/>
    <w:qFormat/>
    <w:rsid w:val="00886420"/>
    <w:pPr>
      <w:numPr>
        <w:numId w:val="6"/>
      </w:numPr>
      <w:spacing w:line="360" w:lineRule="auto"/>
      <w:ind w:left="720" w:right="363" w:hanging="357"/>
      <w:contextualSpacing/>
    </w:pPr>
  </w:style>
  <w:style w:type="paragraph" w:customStyle="1" w:styleId="Covertitle">
    <w:name w:val="Cover title"/>
    <w:basedOn w:val="Title"/>
    <w:qFormat/>
    <w:rsid w:val="00FA645F"/>
    <w:pPr>
      <w:spacing w:before="960" w:after="240"/>
    </w:pPr>
    <w:rPr>
      <w:rFonts w:ascii="Arial" w:hAnsi="Arial"/>
      <w:bCs w:val="0"/>
      <w:color w:val="ACA338"/>
      <w:sz w:val="96"/>
    </w:rPr>
  </w:style>
  <w:style w:type="paragraph" w:customStyle="1" w:styleId="CoverSubtitle">
    <w:name w:val="Cover Subtitle"/>
    <w:next w:val="Normal"/>
    <w:qFormat/>
    <w:rsid w:val="00FA645F"/>
    <w:pPr>
      <w:spacing w:before="480"/>
    </w:pPr>
    <w:rPr>
      <w:rFonts w:ascii="Arial" w:eastAsiaTheme="majorEastAsia" w:hAnsi="Arial" w:cstheme="majorBidi"/>
      <w:b/>
      <w:bCs/>
      <w:color w:val="005A96"/>
      <w:kern w:val="28"/>
      <w:sz w:val="52"/>
      <w:szCs w:val="32"/>
      <w:lang w:eastAsia="en-US"/>
    </w:rPr>
  </w:style>
  <w:style w:type="paragraph" w:styleId="TOC1">
    <w:name w:val="toc 1"/>
    <w:basedOn w:val="Heading1"/>
    <w:next w:val="Normal"/>
    <w:autoRedefine/>
    <w:uiPriority w:val="39"/>
    <w:unhideWhenUsed/>
    <w:qFormat/>
    <w:rsid w:val="00585DCD"/>
    <w:pPr>
      <w:numPr>
        <w:numId w:val="0"/>
      </w:numPr>
      <w:tabs>
        <w:tab w:val="left" w:pos="426"/>
        <w:tab w:val="right" w:leader="dot" w:pos="9016"/>
      </w:tabs>
      <w:spacing w:before="120" w:after="120" w:line="360" w:lineRule="auto"/>
    </w:pPr>
    <w:rPr>
      <w:rFonts w:asciiTheme="minorHAnsi" w:eastAsiaTheme="minorEastAsia" w:hAnsiTheme="minorHAnsi" w:cstheme="minorBidi"/>
      <w:b w:val="0"/>
      <w:noProof/>
      <w:color w:val="auto"/>
      <w:kern w:val="0"/>
      <w:sz w:val="22"/>
      <w:szCs w:val="22"/>
      <w:lang w:eastAsia="en-AU"/>
    </w:rPr>
  </w:style>
  <w:style w:type="paragraph" w:styleId="TOC2">
    <w:name w:val="toc 2"/>
    <w:basedOn w:val="Heading2"/>
    <w:next w:val="Normal"/>
    <w:autoRedefine/>
    <w:uiPriority w:val="39"/>
    <w:unhideWhenUsed/>
    <w:qFormat/>
    <w:rsid w:val="00585DCD"/>
    <w:pPr>
      <w:numPr>
        <w:ilvl w:val="0"/>
        <w:numId w:val="0"/>
      </w:numPr>
      <w:tabs>
        <w:tab w:val="left" w:pos="600"/>
        <w:tab w:val="left" w:pos="880"/>
        <w:tab w:val="right" w:leader="dot" w:pos="9016"/>
      </w:tabs>
      <w:spacing w:before="120" w:line="360" w:lineRule="auto"/>
      <w:ind w:left="426"/>
    </w:pPr>
    <w:rPr>
      <w:rFonts w:eastAsiaTheme="minorEastAsia" w:cstheme="minorBidi"/>
      <w:b w:val="0"/>
      <w:noProof/>
      <w:color w:val="auto"/>
      <w:kern w:val="0"/>
      <w:sz w:val="22"/>
      <w:szCs w:val="22"/>
      <w:shd w:val="clear" w:color="auto" w:fill="auto"/>
      <w:lang w:eastAsia="en-AU"/>
    </w:rPr>
  </w:style>
  <w:style w:type="paragraph" w:styleId="TOC3">
    <w:name w:val="toc 3"/>
    <w:basedOn w:val="Heading3"/>
    <w:next w:val="Normal"/>
    <w:autoRedefine/>
    <w:uiPriority w:val="39"/>
    <w:unhideWhenUsed/>
    <w:qFormat/>
    <w:rsid w:val="00585DCD"/>
    <w:pPr>
      <w:numPr>
        <w:ilvl w:val="0"/>
        <w:numId w:val="0"/>
      </w:numPr>
      <w:tabs>
        <w:tab w:val="left" w:pos="1418"/>
        <w:tab w:val="right" w:leader="dot" w:pos="9016"/>
      </w:tabs>
      <w:spacing w:before="120" w:after="120"/>
      <w:ind w:left="851"/>
    </w:pPr>
    <w:rPr>
      <w:b/>
      <w:noProof/>
      <w:sz w:val="22"/>
    </w:rPr>
  </w:style>
  <w:style w:type="paragraph" w:styleId="TOC4">
    <w:name w:val="toc 4"/>
    <w:basedOn w:val="Heading4"/>
    <w:next w:val="Normal"/>
    <w:autoRedefine/>
    <w:uiPriority w:val="39"/>
    <w:unhideWhenUsed/>
    <w:rsid w:val="007554A2"/>
    <w:pPr>
      <w:spacing w:after="100"/>
      <w:ind w:left="600"/>
    </w:pPr>
  </w:style>
  <w:style w:type="paragraph" w:styleId="TOCHeading">
    <w:name w:val="TOC Heading"/>
    <w:basedOn w:val="Normal"/>
    <w:next w:val="Normal"/>
    <w:uiPriority w:val="39"/>
    <w:unhideWhenUsed/>
    <w:qFormat/>
    <w:rsid w:val="00FA645F"/>
    <w:pPr>
      <w:keepLines/>
      <w:spacing w:after="600"/>
    </w:pPr>
    <w:rPr>
      <w:rFonts w:ascii="Arial" w:hAnsi="Arial"/>
      <w:b/>
      <w:color w:val="005A96"/>
      <w:sz w:val="48"/>
      <w:szCs w:val="28"/>
    </w:rPr>
  </w:style>
  <w:style w:type="character" w:styleId="Hyperlink">
    <w:name w:val="Hyperlink"/>
    <w:basedOn w:val="DefaultParagraphFont"/>
    <w:uiPriority w:val="99"/>
    <w:unhideWhenUsed/>
    <w:rsid w:val="0086351E"/>
    <w:rPr>
      <w:color w:val="0000FF" w:themeColor="hyperlink"/>
      <w:u w:val="single"/>
    </w:rPr>
  </w:style>
  <w:style w:type="paragraph" w:styleId="BalloonText">
    <w:name w:val="Balloon Text"/>
    <w:basedOn w:val="Normal"/>
    <w:link w:val="BalloonTextChar"/>
    <w:uiPriority w:val="99"/>
    <w:semiHidden/>
    <w:unhideWhenUsed/>
    <w:rsid w:val="008635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51E"/>
    <w:rPr>
      <w:rFonts w:ascii="Tahoma" w:hAnsi="Tahoma" w:cs="Tahoma"/>
      <w:sz w:val="16"/>
      <w:szCs w:val="16"/>
      <w:lang w:eastAsia="en-US"/>
    </w:rPr>
  </w:style>
  <w:style w:type="paragraph" w:styleId="Header">
    <w:name w:val="header"/>
    <w:basedOn w:val="Normal"/>
    <w:link w:val="HeaderChar"/>
    <w:uiPriority w:val="99"/>
    <w:unhideWhenUsed/>
    <w:rsid w:val="00C608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08F0"/>
    <w:rPr>
      <w:rFonts w:ascii="Gill Sans MT" w:hAnsi="Gill Sans MT"/>
      <w:szCs w:val="22"/>
      <w:lang w:eastAsia="en-US"/>
    </w:rPr>
  </w:style>
  <w:style w:type="paragraph" w:styleId="Footer">
    <w:name w:val="footer"/>
    <w:basedOn w:val="Normal"/>
    <w:link w:val="FooterChar"/>
    <w:uiPriority w:val="99"/>
    <w:unhideWhenUsed/>
    <w:rsid w:val="00C608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08F0"/>
    <w:rPr>
      <w:rFonts w:ascii="Gill Sans MT" w:hAnsi="Gill Sans MT"/>
      <w:szCs w:val="22"/>
      <w:lang w:eastAsia="en-US"/>
    </w:rPr>
  </w:style>
  <w:style w:type="table" w:styleId="TableGrid">
    <w:name w:val="Table Grid"/>
    <w:basedOn w:val="TableNormal"/>
    <w:uiPriority w:val="59"/>
    <w:rsid w:val="00877CAF"/>
    <w:pPr>
      <w:spacing w:before="120" w:after="120"/>
    </w:pPr>
    <w:tblPr>
      <w:jc w:val="center"/>
      <w:tblBorders>
        <w:top w:val="single" w:sz="8" w:space="0" w:color="00757A"/>
        <w:bottom w:val="single" w:sz="8" w:space="0" w:color="00757A"/>
        <w:insideH w:val="single" w:sz="4" w:space="0" w:color="00757A"/>
        <w:insideV w:val="single" w:sz="4" w:space="0" w:color="00757A"/>
      </w:tblBorders>
    </w:tblPr>
    <w:trPr>
      <w:jc w:val="center"/>
    </w:trPr>
    <w:tcPr>
      <w:shd w:val="clear" w:color="auto" w:fill="auto"/>
      <w:vAlign w:val="center"/>
    </w:tcPr>
    <w:tblStylePr w:type="firstRow">
      <w:pPr>
        <w:keepNext w:val="0"/>
        <w:keepLines w:val="0"/>
        <w:pageBreakBefore w:val="0"/>
        <w:widowControl w:val="0"/>
        <w:suppressLineNumbers w:val="0"/>
        <w:suppressAutoHyphens w:val="0"/>
        <w:wordWrap/>
        <w:spacing w:beforeLines="0" w:before="120" w:beforeAutospacing="0" w:afterLines="0" w:after="120" w:afterAutospacing="0"/>
        <w:contextualSpacing w:val="0"/>
        <w:jc w:val="left"/>
      </w:pPr>
      <w:rPr>
        <w:rFonts w:ascii="Gill Sans MT" w:hAnsi="Gill Sans MT"/>
        <w:sz w:val="20"/>
      </w:rPr>
      <w:tblPr/>
      <w:tcPr>
        <w:shd w:val="clear" w:color="auto" w:fill="F8F8F8"/>
      </w:tcPr>
    </w:tblStylePr>
    <w:tblStylePr w:type="lastRow">
      <w:tblPr/>
      <w:tcPr>
        <w:shd w:val="clear" w:color="auto" w:fill="F8F8F8"/>
      </w:tcPr>
    </w:tblStylePr>
  </w:style>
  <w:style w:type="table" w:styleId="LightShading">
    <w:name w:val="Light Shading"/>
    <w:basedOn w:val="TableNormal"/>
    <w:uiPriority w:val="60"/>
    <w:rsid w:val="0099086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rsid w:val="00BC043B"/>
    <w:pPr>
      <w:ind w:left="720"/>
      <w:contextualSpacing/>
    </w:pPr>
  </w:style>
  <w:style w:type="paragraph" w:styleId="Caption">
    <w:name w:val="caption"/>
    <w:basedOn w:val="Normal"/>
    <w:next w:val="Normal"/>
    <w:uiPriority w:val="35"/>
    <w:unhideWhenUsed/>
    <w:qFormat/>
    <w:rsid w:val="0094318B"/>
    <w:pPr>
      <w:spacing w:before="240" w:after="120" w:line="240" w:lineRule="auto"/>
    </w:pPr>
    <w:rPr>
      <w:bCs/>
      <w:color w:val="595959" w:themeColor="text1" w:themeTint="A6"/>
      <w:szCs w:val="18"/>
    </w:rPr>
  </w:style>
  <w:style w:type="numbering" w:customStyle="1" w:styleId="Headinglist">
    <w:name w:val="Heading list"/>
    <w:uiPriority w:val="99"/>
    <w:rsid w:val="004925C8"/>
    <w:pPr>
      <w:numPr>
        <w:numId w:val="14"/>
      </w:numPr>
    </w:pPr>
  </w:style>
  <w:style w:type="character" w:customStyle="1" w:styleId="Heading5Char">
    <w:name w:val="Heading 5 Char"/>
    <w:basedOn w:val="DefaultParagraphFont"/>
    <w:link w:val="Heading5"/>
    <w:uiPriority w:val="9"/>
    <w:semiHidden/>
    <w:rsid w:val="00022058"/>
    <w:rPr>
      <w:rFonts w:asciiTheme="majorHAnsi" w:eastAsiaTheme="majorEastAsia" w:hAnsiTheme="majorHAnsi" w:cstheme="majorBidi"/>
      <w:color w:val="243F60" w:themeColor="accent1" w:themeShade="7F"/>
      <w:sz w:val="22"/>
      <w:szCs w:val="22"/>
      <w:lang w:eastAsia="en-US"/>
    </w:rPr>
  </w:style>
  <w:style w:type="character" w:customStyle="1" w:styleId="Heading6Char">
    <w:name w:val="Heading 6 Char"/>
    <w:basedOn w:val="DefaultParagraphFont"/>
    <w:link w:val="Heading6"/>
    <w:uiPriority w:val="9"/>
    <w:semiHidden/>
    <w:rsid w:val="00022058"/>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22058"/>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uiPriority w:val="9"/>
    <w:semiHidden/>
    <w:rsid w:val="00022058"/>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uiPriority w:val="9"/>
    <w:semiHidden/>
    <w:rsid w:val="00022058"/>
    <w:rPr>
      <w:rFonts w:asciiTheme="majorHAnsi" w:eastAsiaTheme="majorEastAsia" w:hAnsiTheme="majorHAnsi" w:cstheme="majorBidi"/>
      <w:i/>
      <w:iCs/>
      <w:color w:val="404040" w:themeColor="text1" w:themeTint="BF"/>
      <w:lang w:eastAsia="en-US"/>
    </w:rPr>
  </w:style>
  <w:style w:type="character" w:styleId="PlaceholderText">
    <w:name w:val="Placeholder Text"/>
    <w:basedOn w:val="DefaultParagraphFont"/>
    <w:uiPriority w:val="99"/>
    <w:semiHidden/>
    <w:rsid w:val="00A81199"/>
    <w:rPr>
      <w:color w:val="808080"/>
    </w:rPr>
  </w:style>
  <w:style w:type="paragraph" w:styleId="BodyTextIndent">
    <w:name w:val="Body Text Indent"/>
    <w:basedOn w:val="Normal"/>
    <w:link w:val="BodyTextIndentChar"/>
    <w:uiPriority w:val="99"/>
    <w:unhideWhenUsed/>
    <w:rsid w:val="00135A99"/>
    <w:pPr>
      <w:spacing w:before="120" w:line="240" w:lineRule="auto"/>
      <w:ind w:left="567"/>
      <w:jc w:val="both"/>
    </w:pPr>
    <w:rPr>
      <w:rFonts w:eastAsia="Times New Roman" w:cs="Arial"/>
      <w:sz w:val="24"/>
      <w:szCs w:val="24"/>
      <w:lang w:eastAsia="en-AU"/>
    </w:rPr>
  </w:style>
  <w:style w:type="character" w:customStyle="1" w:styleId="BodyTextIndentChar">
    <w:name w:val="Body Text Indent Char"/>
    <w:basedOn w:val="DefaultParagraphFont"/>
    <w:link w:val="BodyTextIndent"/>
    <w:uiPriority w:val="99"/>
    <w:rsid w:val="00135A99"/>
    <w:rPr>
      <w:rFonts w:ascii="Gill Sans MT" w:eastAsia="Times New Roman" w:hAnsi="Gill Sans MT" w:cs="Arial"/>
      <w:sz w:val="24"/>
      <w:szCs w:val="24"/>
    </w:rPr>
  </w:style>
  <w:style w:type="paragraph" w:styleId="BodyTextIndent2">
    <w:name w:val="Body Text Indent 2"/>
    <w:basedOn w:val="Normal"/>
    <w:link w:val="BodyTextIndent2Char"/>
    <w:uiPriority w:val="99"/>
    <w:unhideWhenUsed/>
    <w:rsid w:val="00E82C5E"/>
    <w:pPr>
      <w:ind w:left="567"/>
    </w:pPr>
    <w:rPr>
      <w:b/>
      <w:shd w:val="clear" w:color="auto" w:fill="FFFFFF"/>
    </w:rPr>
  </w:style>
  <w:style w:type="character" w:customStyle="1" w:styleId="BodyTextIndent2Char">
    <w:name w:val="Body Text Indent 2 Char"/>
    <w:basedOn w:val="DefaultParagraphFont"/>
    <w:link w:val="BodyTextIndent2"/>
    <w:uiPriority w:val="99"/>
    <w:rsid w:val="00E82C5E"/>
    <w:rPr>
      <w:rFonts w:ascii="Gill Sans MT" w:hAnsi="Gill Sans MT"/>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ilaryH\Downloads\Annual_Repor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6DF4D-9CB1-42CF-BE94-A8F384065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Annual_Report_template.dotx</Template>
  <TotalTime>32</TotalTime>
  <Pages>15</Pages>
  <Words>3003</Words>
  <Characters>17119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Annual Report 2016-17</vt:lpstr>
    </vt:vector>
  </TitlesOfParts>
  <Company>Department of Justice</Company>
  <LinksUpToDate>false</LinksUpToDate>
  <CharactersWithSpaces>20082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2016-17</dc:title>
  <dc:creator>Harris, Hilary</dc:creator>
  <cp:lastModifiedBy>Korotki, Angela</cp:lastModifiedBy>
  <cp:revision>7</cp:revision>
  <cp:lastPrinted>2017-10-23T00:18:00Z</cp:lastPrinted>
  <dcterms:created xsi:type="dcterms:W3CDTF">2017-10-19T04:09:00Z</dcterms:created>
  <dcterms:modified xsi:type="dcterms:W3CDTF">2017-10-24T04:04:00Z</dcterms:modified>
</cp:coreProperties>
</file>